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39725" w14:textId="77777777" w:rsidR="00C035A5" w:rsidRPr="00402B3F" w:rsidRDefault="00C035A5" w:rsidP="00C035A5">
      <w:pPr>
        <w:jc w:val="right"/>
        <w:rPr>
          <w:lang w:val="ro-MD"/>
        </w:rPr>
      </w:pPr>
      <w:r w:rsidRPr="00402B3F">
        <w:rPr>
          <w:lang w:val="ro-MD"/>
        </w:rPr>
        <w:t>Proiect</w:t>
      </w:r>
    </w:p>
    <w:p w14:paraId="25DFE312" w14:textId="77777777" w:rsidR="00C035A5" w:rsidRPr="00402B3F" w:rsidRDefault="00C035A5" w:rsidP="00C035A5">
      <w:pPr>
        <w:jc w:val="center"/>
        <w:rPr>
          <w:b/>
          <w:lang w:val="ro-MD"/>
        </w:rPr>
      </w:pPr>
      <w:r w:rsidRPr="00402B3F">
        <w:rPr>
          <w:b/>
          <w:lang w:val="ro-MD"/>
        </w:rPr>
        <w:t>COMITETUL EXECUTIV</w:t>
      </w:r>
    </w:p>
    <w:p w14:paraId="19170388" w14:textId="77777777" w:rsidR="00C035A5" w:rsidRPr="00402B3F" w:rsidRDefault="00C035A5" w:rsidP="00675085">
      <w:pPr>
        <w:spacing w:after="240"/>
        <w:jc w:val="center"/>
        <w:rPr>
          <w:b/>
          <w:lang w:val="ro-MD"/>
        </w:rPr>
      </w:pPr>
      <w:r w:rsidRPr="00402B3F">
        <w:rPr>
          <w:b/>
          <w:lang w:val="ro-MD"/>
        </w:rPr>
        <w:t>AL BĂNCII NAȚIONALE A MOLDOVEI</w:t>
      </w:r>
    </w:p>
    <w:p w14:paraId="29CFB4E7" w14:textId="77777777" w:rsidR="00C035A5" w:rsidRPr="00402B3F" w:rsidRDefault="00C035A5" w:rsidP="00952526">
      <w:pPr>
        <w:spacing w:after="120"/>
        <w:jc w:val="center"/>
        <w:rPr>
          <w:b/>
          <w:lang w:val="ro-MD"/>
        </w:rPr>
      </w:pPr>
      <w:r w:rsidRPr="00402B3F">
        <w:rPr>
          <w:b/>
          <w:lang w:val="ro-MD"/>
        </w:rPr>
        <w:t>HOTĂRÂREA nr.</w:t>
      </w:r>
    </w:p>
    <w:p w14:paraId="205BC6A1" w14:textId="64C5B53B" w:rsidR="00C035A5" w:rsidRPr="00402B3F" w:rsidRDefault="00C035A5" w:rsidP="00675085">
      <w:pPr>
        <w:spacing w:after="240"/>
        <w:jc w:val="center"/>
        <w:rPr>
          <w:b/>
          <w:lang w:val="ro-MD"/>
        </w:rPr>
      </w:pPr>
      <w:r w:rsidRPr="00402B3F">
        <w:rPr>
          <w:b/>
          <w:lang w:val="ro-MD"/>
        </w:rPr>
        <w:t xml:space="preserve">din ___    ____________  </w:t>
      </w:r>
      <w:r w:rsidR="0067578C" w:rsidRPr="00402B3F">
        <w:rPr>
          <w:b/>
          <w:lang w:val="ro-MD"/>
        </w:rPr>
        <w:t>202</w:t>
      </w:r>
      <w:r w:rsidR="00596B6D" w:rsidRPr="00402B3F">
        <w:rPr>
          <w:b/>
          <w:lang w:val="ro-MD"/>
        </w:rPr>
        <w:t>4</w:t>
      </w:r>
    </w:p>
    <w:p w14:paraId="555FAD07" w14:textId="48FA9521" w:rsidR="00C035A5" w:rsidRPr="00402B3F" w:rsidRDefault="00C035A5" w:rsidP="00675085">
      <w:pPr>
        <w:spacing w:after="240"/>
        <w:jc w:val="center"/>
        <w:rPr>
          <w:b/>
          <w:lang w:val="ro-MD"/>
        </w:rPr>
      </w:pPr>
      <w:r w:rsidRPr="00402B3F">
        <w:rPr>
          <w:b/>
          <w:lang w:val="ro-MD"/>
        </w:rPr>
        <w:t xml:space="preserve">Pentru modificarea Regulamentului </w:t>
      </w:r>
      <w:r w:rsidR="00C17EF0" w:rsidRPr="00402B3F">
        <w:rPr>
          <w:b/>
          <w:lang w:val="ro-MD"/>
        </w:rPr>
        <w:t>cu privire la expunerile mari</w:t>
      </w:r>
      <w:r w:rsidR="00BA7577" w:rsidRPr="00402B3F">
        <w:rPr>
          <w:b/>
          <w:lang w:val="ro-MD"/>
        </w:rPr>
        <w:t>, aprobat prin Hotărârea Comitetului executiv al Băncii Naționale a Moldovei nr.109/2019</w:t>
      </w:r>
    </w:p>
    <w:p w14:paraId="3CD367E5" w14:textId="33172160" w:rsidR="00C035A5" w:rsidRPr="00402B3F" w:rsidRDefault="00C035A5" w:rsidP="00DD6E69">
      <w:pPr>
        <w:tabs>
          <w:tab w:val="left" w:pos="1134"/>
        </w:tabs>
        <w:spacing w:after="120"/>
        <w:ind w:firstLine="425"/>
        <w:jc w:val="both"/>
        <w:rPr>
          <w:lang w:val="ro-MD" w:eastAsia="ru-RU"/>
        </w:rPr>
      </w:pPr>
      <w:r w:rsidRPr="00402B3F">
        <w:rPr>
          <w:lang w:val="ro-MD" w:eastAsia="ru-RU"/>
        </w:rPr>
        <w:t>În temeiul art.44 lit. a)</w:t>
      </w:r>
      <w:r w:rsidR="002C37A0" w:rsidRPr="00402B3F">
        <w:rPr>
          <w:lang w:val="ro-MD" w:eastAsia="ru-RU"/>
        </w:rPr>
        <w:t xml:space="preserve"> și </w:t>
      </w:r>
      <w:r w:rsidR="003132B5" w:rsidRPr="00402B3F">
        <w:rPr>
          <w:lang w:val="ro-MD" w:eastAsia="ru-RU"/>
        </w:rPr>
        <w:t>46</w:t>
      </w:r>
      <w:r w:rsidRPr="00402B3F">
        <w:rPr>
          <w:lang w:val="ro-MD" w:eastAsia="ru-RU"/>
        </w:rPr>
        <w:t xml:space="preserve"> din Legea nr.548</w:t>
      </w:r>
      <w:r w:rsidR="00EB3DF0" w:rsidRPr="00402B3F">
        <w:rPr>
          <w:lang w:val="ro-MD" w:eastAsia="ru-RU"/>
        </w:rPr>
        <w:t>/</w:t>
      </w:r>
      <w:r w:rsidRPr="00402B3F">
        <w:rPr>
          <w:lang w:val="ro-MD" w:eastAsia="ru-RU"/>
        </w:rPr>
        <w:t xml:space="preserve">1995 cu privire la Banca Națională a Moldovei (republicată în Monitorul Oficial al Republicii Moldova, 2015, nr.297-300, art.544), </w:t>
      </w:r>
      <w:r w:rsidR="00B31391" w:rsidRPr="00402B3F">
        <w:rPr>
          <w:lang w:val="ro-MD" w:eastAsia="ru-RU"/>
        </w:rPr>
        <w:t>cu modificările ulterioare, precum și a</w:t>
      </w:r>
      <w:r w:rsidR="003D27B9">
        <w:rPr>
          <w:lang w:val="ro-MD" w:eastAsia="ru-RU"/>
        </w:rPr>
        <w:t>l</w:t>
      </w:r>
      <w:r w:rsidR="00B31391" w:rsidRPr="00402B3F">
        <w:rPr>
          <w:lang w:val="ro-MD" w:eastAsia="ru-RU"/>
        </w:rPr>
        <w:t xml:space="preserve"> </w:t>
      </w:r>
      <w:r w:rsidRPr="00402B3F">
        <w:rPr>
          <w:lang w:val="ro-MD" w:eastAsia="ru-RU"/>
        </w:rPr>
        <w:t>art.</w:t>
      </w:r>
      <w:r w:rsidR="00123A40" w:rsidRPr="00402B3F">
        <w:rPr>
          <w:lang w:val="ro-MD"/>
        </w:rPr>
        <w:t xml:space="preserve"> </w:t>
      </w:r>
      <w:r w:rsidR="00C17EF0" w:rsidRPr="00402B3F">
        <w:rPr>
          <w:lang w:val="ro-MD" w:eastAsia="ru-RU"/>
        </w:rPr>
        <w:t xml:space="preserve">74 </w:t>
      </w:r>
      <w:r w:rsidR="00A421A6" w:rsidRPr="00402B3F">
        <w:rPr>
          <w:lang w:val="ro-MD" w:eastAsia="ru-RU"/>
        </w:rPr>
        <w:t>d</w:t>
      </w:r>
      <w:r w:rsidRPr="00402B3F">
        <w:rPr>
          <w:lang w:val="ro-MD" w:eastAsia="ru-RU"/>
        </w:rPr>
        <w:t>in Legea nr.202</w:t>
      </w:r>
      <w:r w:rsidR="00EB3DF0" w:rsidRPr="00402B3F">
        <w:rPr>
          <w:lang w:val="ro-MD" w:eastAsia="ru-RU"/>
        </w:rPr>
        <w:t>/</w:t>
      </w:r>
      <w:r w:rsidRPr="00402B3F">
        <w:rPr>
          <w:lang w:val="ro-MD" w:eastAsia="ru-RU"/>
        </w:rPr>
        <w:t xml:space="preserve">2017 privind activitatea băncilor (Monitorul Oficial al Republicii Moldova, 2017, nr.434-439, art.727), </w:t>
      </w:r>
      <w:r w:rsidR="00B31391" w:rsidRPr="00402B3F">
        <w:rPr>
          <w:lang w:val="ro-MD" w:eastAsia="ru-RU"/>
        </w:rPr>
        <w:t xml:space="preserve">cu modificările ulterioare, </w:t>
      </w:r>
      <w:r w:rsidRPr="00402B3F">
        <w:rPr>
          <w:lang w:val="ro-MD"/>
        </w:rPr>
        <w:t xml:space="preserve">Comitetul executiv </w:t>
      </w:r>
      <w:r w:rsidRPr="00402B3F">
        <w:rPr>
          <w:lang w:val="ro-MD" w:eastAsia="ru-RU"/>
        </w:rPr>
        <w:t xml:space="preserve">al Băncii Naționale a Moldovei </w:t>
      </w:r>
    </w:p>
    <w:p w14:paraId="2993C2D7" w14:textId="77777777" w:rsidR="00C035A5" w:rsidRPr="00402B3F" w:rsidRDefault="00C035A5" w:rsidP="00DD6E69">
      <w:pPr>
        <w:tabs>
          <w:tab w:val="left" w:pos="1134"/>
        </w:tabs>
        <w:spacing w:after="120"/>
        <w:ind w:firstLine="720"/>
        <w:jc w:val="both"/>
        <w:rPr>
          <w:b/>
          <w:lang w:val="ro-MD" w:eastAsia="ru-RU"/>
        </w:rPr>
      </w:pPr>
      <w:r w:rsidRPr="00402B3F">
        <w:rPr>
          <w:b/>
          <w:lang w:val="ro-MD" w:eastAsia="ru-RU"/>
        </w:rPr>
        <w:t>HOTĂRĂŞTE:</w:t>
      </w:r>
    </w:p>
    <w:p w14:paraId="1FBEC95A" w14:textId="734A1B57" w:rsidR="00C035A5" w:rsidRPr="00402B3F" w:rsidRDefault="00C035A5" w:rsidP="00136E89">
      <w:pPr>
        <w:pStyle w:val="ListParagraph"/>
        <w:numPr>
          <w:ilvl w:val="0"/>
          <w:numId w:val="12"/>
        </w:numPr>
        <w:tabs>
          <w:tab w:val="left" w:pos="567"/>
          <w:tab w:val="left" w:pos="720"/>
        </w:tabs>
        <w:ind w:left="0" w:firstLine="0"/>
        <w:contextualSpacing w:val="0"/>
        <w:jc w:val="both"/>
        <w:rPr>
          <w:lang w:val="ro-MD"/>
        </w:rPr>
      </w:pPr>
      <w:bookmarkStart w:id="0" w:name="_Hlk171934314"/>
      <w:r w:rsidRPr="00402B3F">
        <w:rPr>
          <w:lang w:val="ro-MD"/>
        </w:rPr>
        <w:t>Regulamentul</w:t>
      </w:r>
      <w:r w:rsidR="00123A40" w:rsidRPr="00402B3F">
        <w:rPr>
          <w:lang w:val="ro-MD"/>
        </w:rPr>
        <w:t xml:space="preserve"> </w:t>
      </w:r>
      <w:r w:rsidR="0067578C" w:rsidRPr="00402B3F">
        <w:rPr>
          <w:lang w:val="ro-MD"/>
        </w:rPr>
        <w:t xml:space="preserve">cu </w:t>
      </w:r>
      <w:r w:rsidR="00123A40" w:rsidRPr="00402B3F">
        <w:rPr>
          <w:lang w:val="ro-MD"/>
        </w:rPr>
        <w:t>privi</w:t>
      </w:r>
      <w:r w:rsidR="0067578C" w:rsidRPr="00402B3F">
        <w:rPr>
          <w:lang w:val="ro-MD"/>
        </w:rPr>
        <w:t xml:space="preserve">re la </w:t>
      </w:r>
      <w:r w:rsidR="00DF6653" w:rsidRPr="00402B3F">
        <w:rPr>
          <w:lang w:val="ro-MD"/>
        </w:rPr>
        <w:t>expunerile mari</w:t>
      </w:r>
      <w:r w:rsidR="00123A40" w:rsidRPr="00402B3F">
        <w:rPr>
          <w:lang w:val="ro-MD"/>
        </w:rPr>
        <w:t xml:space="preserve">, </w:t>
      </w:r>
      <w:r w:rsidR="00646CFD" w:rsidRPr="00402B3F">
        <w:rPr>
          <w:color w:val="000000" w:themeColor="text1"/>
          <w:lang w:val="ro-MD" w:eastAsia="ru-RU"/>
        </w:rPr>
        <w:t>aprobat prin Hotărârea Comitetului executiv al B</w:t>
      </w:r>
      <w:r w:rsidR="00623AFE" w:rsidRPr="00402B3F">
        <w:rPr>
          <w:color w:val="000000" w:themeColor="text1"/>
          <w:lang w:val="ro-MD" w:eastAsia="ru-RU"/>
        </w:rPr>
        <w:t xml:space="preserve">ăncii </w:t>
      </w:r>
      <w:r w:rsidR="00AB0827" w:rsidRPr="00402B3F">
        <w:rPr>
          <w:color w:val="000000" w:themeColor="text1"/>
          <w:lang w:val="ro-MD" w:eastAsia="ru-RU"/>
        </w:rPr>
        <w:t>Naționale a Moldovei nr.</w:t>
      </w:r>
      <w:r w:rsidR="0067578C" w:rsidRPr="00402B3F">
        <w:rPr>
          <w:color w:val="000000" w:themeColor="text1"/>
          <w:lang w:val="ro-MD" w:eastAsia="ru-RU"/>
        </w:rPr>
        <w:t>10</w:t>
      </w:r>
      <w:r w:rsidR="00DF6653" w:rsidRPr="00402B3F">
        <w:rPr>
          <w:color w:val="000000" w:themeColor="text1"/>
          <w:lang w:val="ro-MD" w:eastAsia="ru-RU"/>
        </w:rPr>
        <w:t>9</w:t>
      </w:r>
      <w:r w:rsidR="0013698F" w:rsidRPr="00402B3F">
        <w:rPr>
          <w:color w:val="000000" w:themeColor="text1"/>
          <w:lang w:val="ro-MD" w:eastAsia="ru-RU"/>
        </w:rPr>
        <w:t>/</w:t>
      </w:r>
      <w:r w:rsidR="004E48F8" w:rsidRPr="00402B3F">
        <w:rPr>
          <w:color w:val="000000" w:themeColor="text1"/>
          <w:lang w:val="ro-MD" w:eastAsia="ru-RU"/>
        </w:rPr>
        <w:t>201</w:t>
      </w:r>
      <w:r w:rsidR="00DF6653" w:rsidRPr="00402B3F">
        <w:rPr>
          <w:color w:val="000000" w:themeColor="text1"/>
          <w:lang w:val="ro-MD" w:eastAsia="ru-RU"/>
        </w:rPr>
        <w:t>9</w:t>
      </w:r>
      <w:r w:rsidR="000C632E" w:rsidRPr="00402B3F">
        <w:rPr>
          <w:color w:val="000000" w:themeColor="text1"/>
          <w:lang w:val="ro-MD" w:eastAsia="ru-RU"/>
        </w:rPr>
        <w:t xml:space="preserve"> </w:t>
      </w:r>
      <w:r w:rsidR="00646CFD" w:rsidRPr="00402B3F">
        <w:rPr>
          <w:color w:val="000000" w:themeColor="text1"/>
          <w:lang w:val="ro-MD" w:eastAsia="ru-RU"/>
        </w:rPr>
        <w:t>(Monitorul Oficial al Republicii Moldova, 201</w:t>
      </w:r>
      <w:r w:rsidR="00DF6653" w:rsidRPr="00402B3F">
        <w:rPr>
          <w:color w:val="000000" w:themeColor="text1"/>
          <w:lang w:val="ro-MD" w:eastAsia="ru-RU"/>
        </w:rPr>
        <w:t>9</w:t>
      </w:r>
      <w:r w:rsidR="00646CFD" w:rsidRPr="00402B3F">
        <w:rPr>
          <w:color w:val="000000" w:themeColor="text1"/>
          <w:lang w:val="ro-MD" w:eastAsia="ru-RU"/>
        </w:rPr>
        <w:t>, nr.1</w:t>
      </w:r>
      <w:r w:rsidR="0067578C" w:rsidRPr="00402B3F">
        <w:rPr>
          <w:color w:val="000000" w:themeColor="text1"/>
          <w:lang w:val="ro-MD" w:eastAsia="ru-RU"/>
        </w:rPr>
        <w:t>3</w:t>
      </w:r>
      <w:r w:rsidR="0047454D" w:rsidRPr="00402B3F">
        <w:rPr>
          <w:color w:val="000000" w:themeColor="text1"/>
          <w:lang w:val="ro-MD" w:eastAsia="ru-RU"/>
        </w:rPr>
        <w:t>9</w:t>
      </w:r>
      <w:r w:rsidR="00AB0827" w:rsidRPr="00402B3F">
        <w:rPr>
          <w:color w:val="000000" w:themeColor="text1"/>
          <w:lang w:val="ro-MD" w:eastAsia="ru-RU"/>
        </w:rPr>
        <w:t>-</w:t>
      </w:r>
      <w:r w:rsidR="0067578C" w:rsidRPr="00402B3F">
        <w:rPr>
          <w:color w:val="000000" w:themeColor="text1"/>
          <w:lang w:val="ro-MD" w:eastAsia="ru-RU"/>
        </w:rPr>
        <w:t>14</w:t>
      </w:r>
      <w:r w:rsidR="0047454D" w:rsidRPr="00402B3F">
        <w:rPr>
          <w:color w:val="000000" w:themeColor="text1"/>
          <w:lang w:val="ro-MD" w:eastAsia="ru-RU"/>
        </w:rPr>
        <w:t>7</w:t>
      </w:r>
      <w:r w:rsidR="00646CFD" w:rsidRPr="00402B3F">
        <w:rPr>
          <w:color w:val="000000" w:themeColor="text1"/>
          <w:lang w:val="ro-MD" w:eastAsia="ru-RU"/>
        </w:rPr>
        <w:t>, art.</w:t>
      </w:r>
      <w:r w:rsidR="0047454D" w:rsidRPr="00402B3F">
        <w:rPr>
          <w:color w:val="000000" w:themeColor="text1"/>
          <w:lang w:val="ro-MD" w:eastAsia="ru-RU"/>
        </w:rPr>
        <w:t>7</w:t>
      </w:r>
      <w:r w:rsidR="0067578C" w:rsidRPr="00402B3F">
        <w:rPr>
          <w:color w:val="000000" w:themeColor="text1"/>
          <w:lang w:val="ro-MD" w:eastAsia="ru-RU"/>
        </w:rPr>
        <w:t>0</w:t>
      </w:r>
      <w:r w:rsidR="0047454D" w:rsidRPr="00402B3F">
        <w:rPr>
          <w:color w:val="000000" w:themeColor="text1"/>
          <w:lang w:val="ro-MD" w:eastAsia="ru-RU"/>
        </w:rPr>
        <w:t>4</w:t>
      </w:r>
      <w:r w:rsidR="00646CFD" w:rsidRPr="00402B3F">
        <w:rPr>
          <w:color w:val="000000" w:themeColor="text1"/>
          <w:lang w:val="ro-MD" w:eastAsia="ru-RU"/>
        </w:rPr>
        <w:t>), înregistrată la Ministerul Justiției al Republicii Moldova cu nr.</w:t>
      </w:r>
      <w:r w:rsidR="0047454D" w:rsidRPr="00402B3F">
        <w:rPr>
          <w:color w:val="000000" w:themeColor="text1"/>
          <w:lang w:val="ro-MD" w:eastAsia="ru-RU"/>
        </w:rPr>
        <w:t>1437</w:t>
      </w:r>
      <w:r w:rsidR="00646CFD" w:rsidRPr="00402B3F">
        <w:rPr>
          <w:color w:val="000000" w:themeColor="text1"/>
          <w:lang w:val="ro-MD" w:eastAsia="ru-RU"/>
        </w:rPr>
        <w:t>/201</w:t>
      </w:r>
      <w:r w:rsidR="0047454D" w:rsidRPr="00402B3F">
        <w:rPr>
          <w:color w:val="000000" w:themeColor="text1"/>
          <w:lang w:val="ro-MD" w:eastAsia="ru-RU"/>
        </w:rPr>
        <w:t>9</w:t>
      </w:r>
      <w:r w:rsidR="00646CFD" w:rsidRPr="00402B3F">
        <w:rPr>
          <w:color w:val="000000" w:themeColor="text1"/>
          <w:lang w:val="ro-MD" w:eastAsia="ru-RU"/>
        </w:rPr>
        <w:t>, se modifică după cum urmează:</w:t>
      </w:r>
    </w:p>
    <w:bookmarkEnd w:id="0"/>
    <w:p w14:paraId="4A5D9357" w14:textId="4492B8B3" w:rsidR="004B321C" w:rsidRPr="00402B3F" w:rsidRDefault="004C5777" w:rsidP="00DD6E69">
      <w:pPr>
        <w:pStyle w:val="ListParagraph"/>
        <w:numPr>
          <w:ilvl w:val="1"/>
          <w:numId w:val="12"/>
        </w:numPr>
        <w:tabs>
          <w:tab w:val="left" w:pos="426"/>
        </w:tabs>
        <w:spacing w:before="40"/>
        <w:ind w:left="425" w:hanging="425"/>
        <w:contextualSpacing w:val="0"/>
        <w:jc w:val="both"/>
        <w:rPr>
          <w:lang w:val="ro-MD"/>
        </w:rPr>
      </w:pPr>
      <w:r w:rsidRPr="00402B3F">
        <w:rPr>
          <w:lang w:val="ro-MD"/>
        </w:rPr>
        <w:t>c</w:t>
      </w:r>
      <w:r w:rsidR="00DA2B2E" w:rsidRPr="00402B3F">
        <w:rPr>
          <w:lang w:val="ro-MD"/>
        </w:rPr>
        <w:t>lauza de armonizare</w:t>
      </w:r>
      <w:r w:rsidR="00107C55" w:rsidRPr="00402B3F">
        <w:rPr>
          <w:lang w:val="ro-MD"/>
        </w:rPr>
        <w:t xml:space="preserve"> se completează cu textul</w:t>
      </w:r>
      <w:r w:rsidR="008110B8" w:rsidRPr="00402B3F">
        <w:rPr>
          <w:lang w:val="ro-MD"/>
        </w:rPr>
        <w:t>:</w:t>
      </w:r>
      <w:r w:rsidR="00DA2B2E" w:rsidRPr="00402B3F">
        <w:rPr>
          <w:lang w:val="ro-MD"/>
        </w:rPr>
        <w:t xml:space="preserve"> </w:t>
      </w:r>
    </w:p>
    <w:p w14:paraId="4F32DB46" w14:textId="0D99B473" w:rsidR="00DA2B2E" w:rsidRPr="00402B3F" w:rsidRDefault="00817448" w:rsidP="00107C55">
      <w:pPr>
        <w:ind w:firstLine="426"/>
        <w:jc w:val="both"/>
        <w:rPr>
          <w:lang w:val="ro-MD"/>
        </w:rPr>
      </w:pPr>
      <w:r w:rsidRPr="00402B3F">
        <w:rPr>
          <w:lang w:val="ro-MD"/>
        </w:rPr>
        <w:t>„– transpune Regulamentul delegat (UE) 2022/1011 al Comisiei din 10 martie 2022 de completare a Regulamentului (UE) nr. 575/2013 al Parlamentului European și al Consiliului în ceea ce privește standardele tehnice de reglementare care precizează modul de determinare a expunerilor indirecte față de un client care provin din contracte derivate și contracte derivate de credit, atunci când contractele nu sunt încheiate direct cu respectivul client, dar instrumentul de datorie sau de capital suport a fost emis de clientul respectiv</w:t>
      </w:r>
      <w:r w:rsidR="003D1F45" w:rsidRPr="00402B3F">
        <w:rPr>
          <w:lang w:val="ro-MD" w:eastAsia="ro-MD"/>
        </w:rPr>
        <w:t xml:space="preserve">, publicat în Jurnalul Oficial al Uniunii Europene nr. L 170 din 28 iunie 2022, nr. </w:t>
      </w:r>
      <w:r w:rsidR="003D1F45" w:rsidRPr="00402B3F">
        <w:rPr>
          <w:b/>
          <w:bCs/>
          <w:lang w:val="ro-MD" w:eastAsia="ro-MD"/>
        </w:rPr>
        <w:t>CELEX: 32022R1011</w:t>
      </w:r>
      <w:r w:rsidRPr="00402B3F">
        <w:rPr>
          <w:lang w:val="ro-MD"/>
        </w:rPr>
        <w:t>.”</w:t>
      </w:r>
      <w:r w:rsidR="00A64178" w:rsidRPr="00402B3F">
        <w:rPr>
          <w:lang w:val="ro-MD"/>
        </w:rPr>
        <w:t>;</w:t>
      </w:r>
    </w:p>
    <w:p w14:paraId="7AEDD4E3" w14:textId="131931B5" w:rsidR="00BF0995" w:rsidRPr="00402B3F" w:rsidRDefault="007C2003" w:rsidP="00DD6E69">
      <w:pPr>
        <w:pStyle w:val="ListParagraph"/>
        <w:numPr>
          <w:ilvl w:val="1"/>
          <w:numId w:val="12"/>
        </w:numPr>
        <w:tabs>
          <w:tab w:val="left" w:pos="426"/>
        </w:tabs>
        <w:spacing w:before="40"/>
        <w:ind w:left="0" w:firstLine="0"/>
        <w:contextualSpacing w:val="0"/>
        <w:jc w:val="both"/>
        <w:rPr>
          <w:lang w:val="ro-MD"/>
        </w:rPr>
      </w:pPr>
      <w:r w:rsidRPr="00402B3F">
        <w:rPr>
          <w:lang w:val="ro-MD"/>
        </w:rPr>
        <w:t xml:space="preserve">la </w:t>
      </w:r>
      <w:r w:rsidR="00BF0995" w:rsidRPr="00402B3F">
        <w:rPr>
          <w:lang w:val="ro-MD"/>
        </w:rPr>
        <w:t>punctul 6</w:t>
      </w:r>
      <w:r w:rsidR="00EB38EC" w:rsidRPr="00402B3F">
        <w:rPr>
          <w:lang w:val="ro-MD"/>
        </w:rPr>
        <w:t xml:space="preserve"> subpunctul 2) </w:t>
      </w:r>
      <w:r w:rsidR="00BF0995" w:rsidRPr="00402B3F">
        <w:rPr>
          <w:lang w:val="ro-MD"/>
        </w:rPr>
        <w:t xml:space="preserve">cuvântul „operațiunilor” se substituie cu cuvântul „tranzacțiilor”, iar după </w:t>
      </w:r>
      <w:r w:rsidR="0003291F" w:rsidRPr="00402B3F">
        <w:rPr>
          <w:lang w:val="ro-MD"/>
        </w:rPr>
        <w:t>cuvintele</w:t>
      </w:r>
      <w:r w:rsidR="00BF0995" w:rsidRPr="00402B3F">
        <w:rPr>
          <w:lang w:val="ro-MD"/>
        </w:rPr>
        <w:t xml:space="preserve"> </w:t>
      </w:r>
      <w:r w:rsidR="00FA2731" w:rsidRPr="00402B3F">
        <w:rPr>
          <w:lang w:val="ro-MD"/>
        </w:rPr>
        <w:t xml:space="preserve">„cumpărare de titluri” se completează cu </w:t>
      </w:r>
      <w:r w:rsidR="0003291F" w:rsidRPr="00402B3F">
        <w:rPr>
          <w:lang w:val="ro-MD"/>
        </w:rPr>
        <w:t>cuvintele</w:t>
      </w:r>
      <w:r w:rsidR="00FA2731" w:rsidRPr="00402B3F">
        <w:rPr>
          <w:lang w:val="ro-MD"/>
        </w:rPr>
        <w:t xml:space="preserve"> „de valoare”</w:t>
      </w:r>
      <w:r w:rsidR="00A64178" w:rsidRPr="00402B3F">
        <w:rPr>
          <w:lang w:val="ro-MD"/>
        </w:rPr>
        <w:t>;</w:t>
      </w:r>
    </w:p>
    <w:p w14:paraId="07BC11D0" w14:textId="00DC35BF" w:rsidR="00A64178" w:rsidRPr="00402B3F" w:rsidRDefault="007C2003" w:rsidP="00DD6E69">
      <w:pPr>
        <w:pStyle w:val="ListParagraph"/>
        <w:numPr>
          <w:ilvl w:val="1"/>
          <w:numId w:val="12"/>
        </w:numPr>
        <w:tabs>
          <w:tab w:val="left" w:pos="426"/>
          <w:tab w:val="left" w:pos="851"/>
        </w:tabs>
        <w:spacing w:before="40"/>
        <w:ind w:left="0" w:firstLine="0"/>
        <w:contextualSpacing w:val="0"/>
        <w:jc w:val="both"/>
        <w:rPr>
          <w:lang w:val="ro-MD"/>
        </w:rPr>
      </w:pPr>
      <w:r w:rsidRPr="00402B3F">
        <w:rPr>
          <w:lang w:val="ro-MD"/>
        </w:rPr>
        <w:t xml:space="preserve">se </w:t>
      </w:r>
      <w:r w:rsidR="00A64178" w:rsidRPr="00402B3F">
        <w:rPr>
          <w:lang w:val="ro-MD"/>
        </w:rPr>
        <w:t>completează cu punctul 14</w:t>
      </w:r>
      <w:r w:rsidR="00A64178" w:rsidRPr="00402B3F">
        <w:rPr>
          <w:vertAlign w:val="superscript"/>
          <w:lang w:val="ro-MD"/>
        </w:rPr>
        <w:t xml:space="preserve">2 </w:t>
      </w:r>
      <w:r w:rsidR="00A64178" w:rsidRPr="00402B3F">
        <w:rPr>
          <w:lang w:val="ro-MD"/>
        </w:rPr>
        <w:t>cu următorul cuprins:</w:t>
      </w:r>
    </w:p>
    <w:p w14:paraId="1F7E2805" w14:textId="53CF1E44" w:rsidR="00A64178" w:rsidRPr="00402B3F" w:rsidRDefault="00CA5AD9" w:rsidP="00CA5AD9">
      <w:pPr>
        <w:pStyle w:val="ListParagraph"/>
        <w:tabs>
          <w:tab w:val="left" w:pos="567"/>
          <w:tab w:val="left" w:pos="851"/>
        </w:tabs>
        <w:ind w:left="0"/>
        <w:jc w:val="both"/>
        <w:rPr>
          <w:lang w:val="ro-MD"/>
        </w:rPr>
      </w:pPr>
      <w:r w:rsidRPr="00402B3F">
        <w:rPr>
          <w:lang w:val="ro-MD"/>
        </w:rPr>
        <w:t>„</w:t>
      </w:r>
      <w:r w:rsidR="00A64178" w:rsidRPr="00402B3F">
        <w:rPr>
          <w:b/>
          <w:bCs/>
          <w:lang w:val="ro-MD" w:eastAsia="ro-MD"/>
        </w:rPr>
        <w:t>14</w:t>
      </w:r>
      <w:r w:rsidR="00A64178" w:rsidRPr="00402B3F">
        <w:rPr>
          <w:b/>
          <w:bCs/>
          <w:vertAlign w:val="superscript"/>
          <w:lang w:val="ro-MD" w:eastAsia="ro-MD"/>
        </w:rPr>
        <w:t>2</w:t>
      </w:r>
      <w:r w:rsidR="00A64178" w:rsidRPr="00402B3F">
        <w:rPr>
          <w:b/>
          <w:bCs/>
          <w:lang w:val="ro-MD" w:eastAsia="ro-MD"/>
        </w:rPr>
        <w:t xml:space="preserve">. </w:t>
      </w:r>
      <w:r w:rsidR="00A64178" w:rsidRPr="00402B3F">
        <w:rPr>
          <w:lang w:val="ro-MD" w:eastAsia="ro-MD"/>
        </w:rPr>
        <w:t>Băncile calculează valoarea expunerii indirecte față de un client care provine din contractele derivate enumerate în anexa nr.1 la Regulamentul nr.114/2018 și din contractele derivate de credit, atunci când contractele derivate nu au fost încheiate direct cu respectivul client, dar instrumentul de datorie sau de capital suport a fost emis de clientul respectiv, în conformitate cu metodologia prevăzută în anexa nr. 1</w:t>
      </w:r>
      <w:r w:rsidR="00A64178" w:rsidRPr="00402B3F">
        <w:rPr>
          <w:vertAlign w:val="superscript"/>
          <w:lang w:val="ro-MD" w:eastAsia="ro-MD"/>
        </w:rPr>
        <w:t>1</w:t>
      </w:r>
      <w:r w:rsidR="00A64178" w:rsidRPr="00402B3F">
        <w:rPr>
          <w:lang w:val="ro-MD" w:eastAsia="ro-MD"/>
        </w:rPr>
        <w:t xml:space="preserve"> din prezentul regulament.</w:t>
      </w:r>
      <w:r w:rsidRPr="00402B3F">
        <w:rPr>
          <w:lang w:val="ro-MD"/>
        </w:rPr>
        <w:t>”;</w:t>
      </w:r>
    </w:p>
    <w:p w14:paraId="2227B4F3" w14:textId="48949FDB" w:rsidR="00BF0D18" w:rsidRPr="00402B3F" w:rsidRDefault="007C2003" w:rsidP="00DD6E69">
      <w:pPr>
        <w:pStyle w:val="ListParagraph"/>
        <w:numPr>
          <w:ilvl w:val="1"/>
          <w:numId w:val="12"/>
        </w:numPr>
        <w:tabs>
          <w:tab w:val="left" w:pos="426"/>
          <w:tab w:val="left" w:pos="851"/>
        </w:tabs>
        <w:spacing w:before="40"/>
        <w:ind w:left="0" w:firstLine="0"/>
        <w:contextualSpacing w:val="0"/>
        <w:jc w:val="both"/>
        <w:rPr>
          <w:lang w:val="ro-MD"/>
        </w:rPr>
      </w:pPr>
      <w:r w:rsidRPr="00402B3F">
        <w:rPr>
          <w:lang w:val="ro-MD"/>
        </w:rPr>
        <w:t xml:space="preserve">la </w:t>
      </w:r>
      <w:r w:rsidR="00BF0D18" w:rsidRPr="00402B3F">
        <w:rPr>
          <w:lang w:val="ro-MD"/>
        </w:rPr>
        <w:t>punctul 19</w:t>
      </w:r>
      <w:r w:rsidR="00841AA9" w:rsidRPr="00402B3F">
        <w:rPr>
          <w:lang w:val="ro-MD"/>
        </w:rPr>
        <w:t xml:space="preserve"> în ultima</w:t>
      </w:r>
      <w:r w:rsidR="00FA5897">
        <w:rPr>
          <w:lang w:val="ro-MD"/>
        </w:rPr>
        <w:t xml:space="preserve"> propoziție</w:t>
      </w:r>
      <w:r w:rsidR="00841AA9" w:rsidRPr="00402B3F">
        <w:rPr>
          <w:lang w:val="ro-MD"/>
        </w:rPr>
        <w:t xml:space="preserve">, după </w:t>
      </w:r>
      <w:r w:rsidR="0084013A" w:rsidRPr="00402B3F">
        <w:rPr>
          <w:lang w:val="ro-MD"/>
        </w:rPr>
        <w:t xml:space="preserve">cuvintele </w:t>
      </w:r>
      <w:r w:rsidR="00841AA9" w:rsidRPr="00402B3F">
        <w:rPr>
          <w:lang w:val="ro-MD"/>
        </w:rPr>
        <w:t>„expunerea față” se completează cu cuvântul „de”</w:t>
      </w:r>
      <w:r w:rsidR="00BF0D18" w:rsidRPr="00402B3F">
        <w:rPr>
          <w:lang w:val="ro-MD"/>
        </w:rPr>
        <w:t>;</w:t>
      </w:r>
    </w:p>
    <w:p w14:paraId="7F2D7A9B" w14:textId="4A3E8045" w:rsidR="00FA20AB" w:rsidRPr="00402B3F" w:rsidRDefault="00FA20AB" w:rsidP="00DD6E69">
      <w:pPr>
        <w:pStyle w:val="ListParagraph"/>
        <w:numPr>
          <w:ilvl w:val="1"/>
          <w:numId w:val="12"/>
        </w:numPr>
        <w:tabs>
          <w:tab w:val="left" w:pos="426"/>
          <w:tab w:val="left" w:pos="567"/>
        </w:tabs>
        <w:spacing w:before="40"/>
        <w:ind w:left="0" w:firstLine="0"/>
        <w:contextualSpacing w:val="0"/>
        <w:jc w:val="both"/>
        <w:rPr>
          <w:lang w:val="ro-MD"/>
        </w:rPr>
      </w:pPr>
      <w:r w:rsidRPr="00402B3F">
        <w:rPr>
          <w:lang w:val="ro-MD"/>
        </w:rPr>
        <w:t>la punctul 36:</w:t>
      </w:r>
    </w:p>
    <w:p w14:paraId="0D1DAEE8" w14:textId="5D0C1B9A" w:rsidR="00FA20AB" w:rsidRPr="00402B3F" w:rsidRDefault="00FA20AB" w:rsidP="00DD6E69">
      <w:pPr>
        <w:pStyle w:val="ListParagraph"/>
        <w:numPr>
          <w:ilvl w:val="0"/>
          <w:numId w:val="29"/>
        </w:numPr>
        <w:tabs>
          <w:tab w:val="left" w:pos="426"/>
          <w:tab w:val="left" w:pos="567"/>
        </w:tabs>
        <w:ind w:hanging="294"/>
        <w:jc w:val="both"/>
        <w:rPr>
          <w:lang w:val="ro-MD"/>
        </w:rPr>
      </w:pPr>
      <w:r w:rsidRPr="00402B3F">
        <w:rPr>
          <w:lang w:val="ro-MD"/>
        </w:rPr>
        <w:t xml:space="preserve"> în </w:t>
      </w:r>
      <w:r w:rsidR="003B0857" w:rsidRPr="00402B3F">
        <w:rPr>
          <w:lang w:val="ro-MD"/>
        </w:rPr>
        <w:t xml:space="preserve">alineatul introductiv </w:t>
      </w:r>
      <w:r w:rsidRPr="00402B3F">
        <w:rPr>
          <w:lang w:val="ro-MD"/>
        </w:rPr>
        <w:t>cuvântul „punctul</w:t>
      </w:r>
      <w:r w:rsidR="00250DA9">
        <w:rPr>
          <w:lang w:val="ro-MD"/>
        </w:rPr>
        <w:t>ui</w:t>
      </w:r>
      <w:r w:rsidRPr="00402B3F">
        <w:rPr>
          <w:lang w:val="ro-MD"/>
        </w:rPr>
        <w:t>” se substituie cu cuvântul „punctel</w:t>
      </w:r>
      <w:r w:rsidR="00250DA9">
        <w:rPr>
          <w:lang w:val="ro-MD"/>
        </w:rPr>
        <w:t>or</w:t>
      </w:r>
      <w:r w:rsidRPr="00402B3F">
        <w:rPr>
          <w:lang w:val="ro-MD"/>
        </w:rPr>
        <w:t>”</w:t>
      </w:r>
      <w:r w:rsidR="00002E40" w:rsidRPr="00402B3F">
        <w:rPr>
          <w:lang w:val="ro-MD"/>
        </w:rPr>
        <w:t>;</w:t>
      </w:r>
    </w:p>
    <w:p w14:paraId="1CD0CEB6" w14:textId="7189CA76" w:rsidR="00FA20AB" w:rsidRPr="00402B3F" w:rsidRDefault="00FA20AB" w:rsidP="00085BF6">
      <w:pPr>
        <w:pStyle w:val="ListParagraph"/>
        <w:numPr>
          <w:ilvl w:val="0"/>
          <w:numId w:val="29"/>
        </w:numPr>
        <w:tabs>
          <w:tab w:val="left" w:pos="426"/>
          <w:tab w:val="left" w:pos="567"/>
        </w:tabs>
        <w:ind w:left="0" w:firstLine="426"/>
        <w:jc w:val="both"/>
        <w:rPr>
          <w:lang w:val="ro-MD"/>
        </w:rPr>
      </w:pPr>
      <w:r w:rsidRPr="00402B3F">
        <w:rPr>
          <w:lang w:val="ro-MD"/>
        </w:rPr>
        <w:t xml:space="preserve"> </w:t>
      </w:r>
      <w:r w:rsidR="00A72B1D" w:rsidRPr="00402B3F">
        <w:rPr>
          <w:lang w:val="ro-MD"/>
        </w:rPr>
        <w:t xml:space="preserve">în </w:t>
      </w:r>
      <w:r w:rsidRPr="00402B3F">
        <w:rPr>
          <w:lang w:val="ro-MD"/>
        </w:rPr>
        <w:t xml:space="preserve">subpunctul 9) </w:t>
      </w:r>
      <w:r w:rsidR="00002E40" w:rsidRPr="00402B3F">
        <w:rPr>
          <w:lang w:val="ro-MD"/>
        </w:rPr>
        <w:t>textul „</w:t>
      </w:r>
      <w:r w:rsidR="00002E40" w:rsidRPr="00402B3F">
        <w:rPr>
          <w:lang w:val="ro-MD" w:eastAsia="ro-MD"/>
        </w:rPr>
        <w:t>Legea nr.575/2003 privind garantarea depozitelor persoanelor fizice în sistemul bancar (Monitorul Oficial al R. Moldova, 30–34/169</w:t>
      </w:r>
      <w:r w:rsidR="009B739F" w:rsidRPr="00402B3F">
        <w:rPr>
          <w:lang w:val="ro-MD" w:eastAsia="ro-MD"/>
        </w:rPr>
        <w:t xml:space="preserve">, </w:t>
      </w:r>
      <w:r w:rsidR="00002E40" w:rsidRPr="00402B3F">
        <w:rPr>
          <w:lang w:val="ro-MD" w:eastAsia="ro-MD"/>
        </w:rPr>
        <w:t>20.02.2004)</w:t>
      </w:r>
      <w:r w:rsidR="00002E40" w:rsidRPr="00402B3F">
        <w:rPr>
          <w:lang w:val="ro-MD"/>
        </w:rPr>
        <w:t>” se substituie cu textul „</w:t>
      </w:r>
      <w:r w:rsidR="00002E40" w:rsidRPr="00402B3F">
        <w:rPr>
          <w:lang w:val="ro-MD" w:eastAsia="ro-MD"/>
        </w:rPr>
        <w:t>Legea nr.160/2023 cu privire la garantarea depozitelor în bănci (Monitorul Oficial al R. Moldova, 235–236/418, 11.07.2023)</w:t>
      </w:r>
      <w:r w:rsidR="00002E40" w:rsidRPr="00402B3F">
        <w:rPr>
          <w:lang w:val="ro-MD"/>
        </w:rPr>
        <w:t>”;</w:t>
      </w:r>
    </w:p>
    <w:p w14:paraId="6CC0044B" w14:textId="42580A84" w:rsidR="00AF41A7" w:rsidRPr="004D4FF0" w:rsidRDefault="0076283E" w:rsidP="00085BF6">
      <w:pPr>
        <w:pStyle w:val="ListParagraph"/>
        <w:numPr>
          <w:ilvl w:val="1"/>
          <w:numId w:val="12"/>
        </w:numPr>
        <w:spacing w:before="40"/>
        <w:ind w:left="0" w:firstLine="0"/>
        <w:contextualSpacing w:val="0"/>
        <w:jc w:val="both"/>
        <w:rPr>
          <w:lang w:val="ro-MD"/>
        </w:rPr>
      </w:pPr>
      <w:r w:rsidRPr="004D4FF0">
        <w:rPr>
          <w:lang w:val="ro-MD"/>
        </w:rPr>
        <w:t>l</w:t>
      </w:r>
      <w:r w:rsidR="00AF41A7" w:rsidRPr="004D4FF0">
        <w:rPr>
          <w:lang w:val="ro-MD"/>
        </w:rPr>
        <w:t>a punctul 42</w:t>
      </w:r>
      <w:r w:rsidR="004D4FF0" w:rsidRPr="004D4FF0">
        <w:rPr>
          <w:lang w:val="ro-MD"/>
        </w:rPr>
        <w:t xml:space="preserve"> </w:t>
      </w:r>
      <w:r w:rsidR="00A72B1D" w:rsidRPr="004D4FF0">
        <w:rPr>
          <w:lang w:val="ro-MD"/>
        </w:rPr>
        <w:t xml:space="preserve">în </w:t>
      </w:r>
      <w:r w:rsidR="00AF41A7" w:rsidRPr="004D4FF0">
        <w:rPr>
          <w:lang w:val="ro-MD"/>
        </w:rPr>
        <w:t xml:space="preserve">subpunctele 1) și 2) cuvântul „înregistrată” se substituie cu </w:t>
      </w:r>
      <w:r w:rsidR="0023162C" w:rsidRPr="004D4FF0">
        <w:rPr>
          <w:lang w:val="ro-MD"/>
        </w:rPr>
        <w:t>cuvintele</w:t>
      </w:r>
      <w:r w:rsidR="00441BB9" w:rsidRPr="004D4FF0">
        <w:rPr>
          <w:lang w:val="ro-MD"/>
        </w:rPr>
        <w:t xml:space="preserve"> </w:t>
      </w:r>
      <w:r w:rsidR="00AF41A7" w:rsidRPr="004D4FF0">
        <w:rPr>
          <w:lang w:val="ro-MD"/>
        </w:rPr>
        <w:t>„o expunere”;</w:t>
      </w:r>
    </w:p>
    <w:p w14:paraId="02B47DEA" w14:textId="08C569C1" w:rsidR="00D712B4" w:rsidRPr="00402B3F" w:rsidRDefault="0076283E" w:rsidP="00DD6E69">
      <w:pPr>
        <w:pStyle w:val="ListParagraph"/>
        <w:numPr>
          <w:ilvl w:val="1"/>
          <w:numId w:val="12"/>
        </w:numPr>
        <w:tabs>
          <w:tab w:val="left" w:pos="426"/>
        </w:tabs>
        <w:spacing w:before="40"/>
        <w:ind w:left="0" w:firstLine="0"/>
        <w:contextualSpacing w:val="0"/>
        <w:jc w:val="both"/>
        <w:rPr>
          <w:lang w:val="ro-MD"/>
        </w:rPr>
      </w:pPr>
      <w:r w:rsidRPr="00402B3F">
        <w:rPr>
          <w:lang w:val="ro-MD"/>
        </w:rPr>
        <w:t>î</w:t>
      </w:r>
      <w:r w:rsidR="00453271" w:rsidRPr="00402B3F">
        <w:rPr>
          <w:lang w:val="ro-MD"/>
        </w:rPr>
        <w:t xml:space="preserve">n </w:t>
      </w:r>
      <w:r w:rsidR="003D27B9">
        <w:rPr>
          <w:lang w:val="ro-MD"/>
        </w:rPr>
        <w:t>a</w:t>
      </w:r>
      <w:r w:rsidR="00453271" w:rsidRPr="00402B3F">
        <w:rPr>
          <w:lang w:val="ro-MD"/>
        </w:rPr>
        <w:t>nexa nr.1</w:t>
      </w:r>
      <w:r w:rsidR="008A1B46" w:rsidRPr="00402B3F">
        <w:rPr>
          <w:lang w:val="ro-MD"/>
        </w:rPr>
        <w:t>,</w:t>
      </w:r>
      <w:r w:rsidR="00453271" w:rsidRPr="00402B3F">
        <w:rPr>
          <w:lang w:val="ro-MD"/>
        </w:rPr>
        <w:t xml:space="preserve"> </w:t>
      </w:r>
      <w:r w:rsidR="00D712B4" w:rsidRPr="00402B3F">
        <w:rPr>
          <w:lang w:val="ro-MD"/>
        </w:rPr>
        <w:t xml:space="preserve">la </w:t>
      </w:r>
      <w:r w:rsidR="00453271" w:rsidRPr="00402B3F">
        <w:rPr>
          <w:lang w:val="ro-MD"/>
        </w:rPr>
        <w:t>punctul 6 subpunctul 1) cuvântul „instituției” se substituie cu cuvântul „băncii”;</w:t>
      </w:r>
    </w:p>
    <w:p w14:paraId="720B541F" w14:textId="1876D8BF" w:rsidR="00453271" w:rsidRDefault="0076283E" w:rsidP="00DD6E69">
      <w:pPr>
        <w:pStyle w:val="ListParagraph"/>
        <w:numPr>
          <w:ilvl w:val="1"/>
          <w:numId w:val="12"/>
        </w:numPr>
        <w:tabs>
          <w:tab w:val="left" w:pos="567"/>
          <w:tab w:val="left" w:pos="851"/>
        </w:tabs>
        <w:spacing w:before="40"/>
        <w:ind w:left="425" w:hanging="425"/>
        <w:contextualSpacing w:val="0"/>
        <w:jc w:val="both"/>
        <w:rPr>
          <w:lang w:val="ro-MD"/>
        </w:rPr>
      </w:pPr>
      <w:r w:rsidRPr="00402B3F">
        <w:rPr>
          <w:lang w:val="ro-MD"/>
        </w:rPr>
        <w:t>s</w:t>
      </w:r>
      <w:r w:rsidR="00453271" w:rsidRPr="00402B3F">
        <w:rPr>
          <w:lang w:val="ro-MD"/>
        </w:rPr>
        <w:t xml:space="preserve">e completează cu </w:t>
      </w:r>
      <w:r w:rsidR="003D27B9">
        <w:rPr>
          <w:lang w:val="ro-MD"/>
        </w:rPr>
        <w:t>a</w:t>
      </w:r>
      <w:r w:rsidR="00453271" w:rsidRPr="00402B3F">
        <w:rPr>
          <w:lang w:val="ro-MD"/>
        </w:rPr>
        <w:t>nexa nr. 1</w:t>
      </w:r>
      <w:r w:rsidR="00453271" w:rsidRPr="00402B3F">
        <w:rPr>
          <w:vertAlign w:val="superscript"/>
          <w:lang w:val="ro-MD"/>
        </w:rPr>
        <w:t>1</w:t>
      </w:r>
      <w:r w:rsidR="00453271" w:rsidRPr="00402B3F">
        <w:rPr>
          <w:lang w:val="ro-MD"/>
        </w:rPr>
        <w:t xml:space="preserve"> cu următorul cuprins:</w:t>
      </w:r>
    </w:p>
    <w:p w14:paraId="655FEC70" w14:textId="75235326" w:rsidR="00453271" w:rsidRPr="00402B3F" w:rsidRDefault="008A1B46" w:rsidP="00952526">
      <w:pPr>
        <w:jc w:val="right"/>
        <w:rPr>
          <w:lang w:val="ro-MD" w:eastAsia="ro-MD"/>
        </w:rPr>
      </w:pPr>
      <w:r w:rsidRPr="00402B3F">
        <w:rPr>
          <w:lang w:val="ro-MD"/>
        </w:rPr>
        <w:lastRenderedPageBreak/>
        <w:t>„</w:t>
      </w:r>
      <w:r w:rsidR="00453271" w:rsidRPr="00402B3F">
        <w:rPr>
          <w:lang w:val="ro-MD" w:eastAsia="ro-MD"/>
        </w:rPr>
        <w:t>Anexa nr.1</w:t>
      </w:r>
      <w:r w:rsidR="00453271" w:rsidRPr="00402B3F">
        <w:rPr>
          <w:vertAlign w:val="superscript"/>
          <w:lang w:val="ro-MD" w:eastAsia="ro-MD"/>
        </w:rPr>
        <w:t>1</w:t>
      </w:r>
    </w:p>
    <w:p w14:paraId="2BFE65DF" w14:textId="77777777" w:rsidR="00453271" w:rsidRPr="00402B3F" w:rsidRDefault="00453271" w:rsidP="00453271">
      <w:pPr>
        <w:jc w:val="right"/>
        <w:rPr>
          <w:lang w:val="ro-MD" w:eastAsia="ro-MD"/>
        </w:rPr>
      </w:pPr>
      <w:r w:rsidRPr="00402B3F">
        <w:rPr>
          <w:lang w:val="ro-MD" w:eastAsia="ro-MD"/>
        </w:rPr>
        <w:t>la Regulamentul cu privire</w:t>
      </w:r>
    </w:p>
    <w:p w14:paraId="5996E60A" w14:textId="3267724D" w:rsidR="00453271" w:rsidRDefault="00453271" w:rsidP="00453271">
      <w:pPr>
        <w:ind w:firstLine="567"/>
        <w:jc w:val="right"/>
        <w:rPr>
          <w:lang w:val="ro-MD" w:eastAsia="ro-MD"/>
        </w:rPr>
      </w:pPr>
      <w:r w:rsidRPr="00402B3F">
        <w:rPr>
          <w:lang w:val="ro-MD" w:eastAsia="ro-MD"/>
        </w:rPr>
        <w:t>la expunerile mari</w:t>
      </w:r>
    </w:p>
    <w:p w14:paraId="4598AFD7" w14:textId="77777777" w:rsidR="00033CC2" w:rsidRPr="00402B3F" w:rsidRDefault="00033CC2" w:rsidP="00453271">
      <w:pPr>
        <w:ind w:firstLine="567"/>
        <w:jc w:val="right"/>
        <w:rPr>
          <w:lang w:val="ro-MD" w:eastAsia="ro-MD"/>
        </w:rPr>
      </w:pPr>
    </w:p>
    <w:p w14:paraId="6C7A401B" w14:textId="77777777" w:rsidR="00453271" w:rsidRPr="00402B3F" w:rsidRDefault="00453271" w:rsidP="00033CC2">
      <w:pPr>
        <w:shd w:val="clear" w:color="auto" w:fill="FFFFFF"/>
        <w:spacing w:before="120" w:after="120" w:line="240" w:lineRule="atLeast"/>
        <w:jc w:val="center"/>
        <w:rPr>
          <w:b/>
          <w:bCs/>
          <w:color w:val="000000" w:themeColor="text1"/>
          <w:lang w:val="ro-MD" w:eastAsia="ro-MD"/>
        </w:rPr>
      </w:pPr>
      <w:r w:rsidRPr="00402B3F">
        <w:rPr>
          <w:b/>
          <w:bCs/>
          <w:color w:val="000000" w:themeColor="text1"/>
          <w:lang w:val="ro-MD" w:eastAsia="ro-MD"/>
        </w:rPr>
        <w:t>Modalitatea de determinare a expunerilor indirecte față de un client care provin din contracte derivate și contracte derivate de credit, atunci când contractele nu sunt încheiate direct cu respectivul client, dar instrumentul de datorie sau de capital suport a fost emis de clientul respectiv</w:t>
      </w:r>
    </w:p>
    <w:p w14:paraId="28FA3E13" w14:textId="77777777" w:rsidR="00453271" w:rsidRPr="00402B3F" w:rsidRDefault="00453271" w:rsidP="00033CC2">
      <w:pPr>
        <w:shd w:val="clear" w:color="auto" w:fill="FFFFFF"/>
        <w:spacing w:before="40"/>
        <w:rPr>
          <w:b/>
          <w:bCs/>
          <w:color w:val="000000" w:themeColor="text1"/>
          <w:lang w:val="ro-MD" w:eastAsia="ro-MD"/>
        </w:rPr>
      </w:pPr>
      <w:r w:rsidRPr="00402B3F">
        <w:rPr>
          <w:b/>
          <w:bCs/>
          <w:color w:val="000000" w:themeColor="text1"/>
          <w:lang w:val="ro-MD" w:eastAsia="ro-MD"/>
        </w:rPr>
        <w:t>1. Alocarea expunerilor indirecte pe categorii de contracte derivate</w:t>
      </w:r>
    </w:p>
    <w:p w14:paraId="232C38E5" w14:textId="77777777" w:rsidR="00453271" w:rsidRPr="00402B3F" w:rsidRDefault="00453271" w:rsidP="00402C2E">
      <w:pPr>
        <w:shd w:val="clear" w:color="auto" w:fill="FFFFFF"/>
        <w:jc w:val="both"/>
        <w:rPr>
          <w:color w:val="000000" w:themeColor="text1"/>
          <w:lang w:val="ro-MD" w:eastAsia="ro-MD"/>
        </w:rPr>
      </w:pPr>
      <w:r w:rsidRPr="00402B3F">
        <w:rPr>
          <w:color w:val="000000" w:themeColor="text1"/>
          <w:lang w:val="ro-MD" w:eastAsia="ro-MD"/>
        </w:rPr>
        <w:t>Băncile alocă expunerile indirecte menționate la punctul 14</w:t>
      </w:r>
      <w:r w:rsidRPr="00402B3F">
        <w:rPr>
          <w:color w:val="000000" w:themeColor="text1"/>
          <w:vertAlign w:val="superscript"/>
          <w:lang w:val="ro-MD" w:eastAsia="ro-MD"/>
        </w:rPr>
        <w:t xml:space="preserve">1 </w:t>
      </w:r>
      <w:r w:rsidRPr="00402B3F">
        <w:rPr>
          <w:color w:val="000000" w:themeColor="text1"/>
          <w:lang w:val="ro-MD" w:eastAsia="ro-MD"/>
        </w:rPr>
        <w:t>din prezentul regulament uneia dintre următoarele categorii de contracte derivate:</w:t>
      </w:r>
    </w:p>
    <w:p w14:paraId="728F626F" w14:textId="77777777" w:rsidR="00453271" w:rsidRPr="00402B3F" w:rsidRDefault="00453271" w:rsidP="00402C2E">
      <w:pPr>
        <w:shd w:val="clear" w:color="auto" w:fill="FFFFFF"/>
        <w:jc w:val="both"/>
        <w:rPr>
          <w:color w:val="000000" w:themeColor="text1"/>
          <w:lang w:val="ro-MD" w:eastAsia="ro-MD"/>
        </w:rPr>
      </w:pPr>
      <w:r w:rsidRPr="00402B3F">
        <w:rPr>
          <w:color w:val="000000" w:themeColor="text1"/>
          <w:lang w:val="ro-MD" w:eastAsia="ro-MD"/>
        </w:rPr>
        <w:t>1) opțiuni pe instrumente de datorie și de capital;</w:t>
      </w:r>
    </w:p>
    <w:p w14:paraId="01C033D7" w14:textId="77777777" w:rsidR="00453271"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2) contracte derivate de credit;</w:t>
      </w:r>
    </w:p>
    <w:p w14:paraId="122437E5" w14:textId="77777777" w:rsidR="00927EA7"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3) toate celelalte contracte derivate enumerate în anexa nr.1 la Regulamentul nr.114/2018 care au ca activ-suport un instrument de datorie sau de capital și care nu sunt incluse în categoriile menționate la subpunctele 1) și 2) de la prezentul punct.</w:t>
      </w:r>
    </w:p>
    <w:p w14:paraId="7647A26C" w14:textId="77777777" w:rsidR="00453271" w:rsidRPr="00402B3F" w:rsidRDefault="00453271" w:rsidP="00033CC2">
      <w:pPr>
        <w:shd w:val="clear" w:color="auto" w:fill="FFFFFF"/>
        <w:spacing w:before="40"/>
        <w:jc w:val="both"/>
        <w:rPr>
          <w:b/>
          <w:bCs/>
          <w:color w:val="000000" w:themeColor="text1"/>
          <w:lang w:val="ro-MD" w:eastAsia="ro-MD"/>
        </w:rPr>
      </w:pPr>
      <w:r w:rsidRPr="00402B3F">
        <w:rPr>
          <w:b/>
          <w:bCs/>
          <w:color w:val="000000" w:themeColor="text1"/>
          <w:lang w:val="ro-MD" w:eastAsia="ro-MD"/>
        </w:rPr>
        <w:t>2.</w:t>
      </w:r>
      <w:r w:rsidRPr="00402B3F">
        <w:rPr>
          <w:i/>
          <w:iCs/>
          <w:color w:val="000000" w:themeColor="text1"/>
          <w:lang w:val="ro-MD" w:eastAsia="ro-MD"/>
        </w:rPr>
        <w:t xml:space="preserve"> </w:t>
      </w:r>
      <w:r w:rsidRPr="00402B3F">
        <w:rPr>
          <w:b/>
          <w:bCs/>
          <w:color w:val="000000" w:themeColor="text1"/>
          <w:lang w:val="ro-MD" w:eastAsia="ro-MD"/>
        </w:rPr>
        <w:t>Calcularea valorii expunerii indirecte pentru opțiunile pe instrumente de datorie și de capital</w:t>
      </w:r>
    </w:p>
    <w:p w14:paraId="7CDC9242" w14:textId="2265E3BE" w:rsidR="00927EA7"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 xml:space="preserve">1) Sub rezerva subpunctelor 2) - 4) </w:t>
      </w:r>
      <w:bookmarkStart w:id="1" w:name="_Hlk163463673"/>
      <w:r w:rsidR="003D27B9">
        <w:rPr>
          <w:color w:val="000000" w:themeColor="text1"/>
          <w:lang w:val="ro-MD" w:eastAsia="ro-MD"/>
        </w:rPr>
        <w:t xml:space="preserve">din </w:t>
      </w:r>
      <w:r w:rsidRPr="00402B3F">
        <w:rPr>
          <w:color w:val="000000" w:themeColor="text1"/>
          <w:lang w:val="ro-MD" w:eastAsia="ro-MD"/>
        </w:rPr>
        <w:t>prezentul punct</w:t>
      </w:r>
      <w:bookmarkEnd w:id="1"/>
      <w:r w:rsidRPr="00402B3F">
        <w:rPr>
          <w:color w:val="000000" w:themeColor="text1"/>
          <w:lang w:val="ro-MD" w:eastAsia="ro-MD"/>
        </w:rPr>
        <w:t xml:space="preserve">, băncile calculează valoarea expunerii indirecte pentru opțiunile pe instrumente de datorie și de capital ca suma dintre valoarea de piață curentă a opțiunii și cuantumul datorat </w:t>
      </w:r>
      <w:proofErr w:type="spellStart"/>
      <w:r w:rsidRPr="00402B3F">
        <w:rPr>
          <w:color w:val="000000" w:themeColor="text1"/>
          <w:lang w:val="ro-MD" w:eastAsia="ro-MD"/>
        </w:rPr>
        <w:t>contrapărții</w:t>
      </w:r>
      <w:proofErr w:type="spellEnd"/>
      <w:r w:rsidRPr="00402B3F">
        <w:rPr>
          <w:color w:val="000000" w:themeColor="text1"/>
          <w:lang w:val="ro-MD" w:eastAsia="ro-MD"/>
        </w:rPr>
        <w:t xml:space="preserve"> opțiunii ca urmare a unei potențiale stări de nerambursare a emitentului instrumentului-suport din care se scade cuantumul datorat băncii de către </w:t>
      </w:r>
      <w:proofErr w:type="spellStart"/>
      <w:r w:rsidRPr="00402B3F">
        <w:rPr>
          <w:color w:val="000000" w:themeColor="text1"/>
          <w:lang w:val="ro-MD" w:eastAsia="ro-MD"/>
        </w:rPr>
        <w:t>contrapartea</w:t>
      </w:r>
      <w:proofErr w:type="spellEnd"/>
      <w:r w:rsidRPr="00402B3F">
        <w:rPr>
          <w:color w:val="000000" w:themeColor="text1"/>
          <w:lang w:val="ro-MD" w:eastAsia="ro-MD"/>
        </w:rPr>
        <w:t xml:space="preserve"> respectivă în cazul respectiv.</w:t>
      </w:r>
    </w:p>
    <w:p w14:paraId="28F87815" w14:textId="24EB9A5C" w:rsidR="00927EA7"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 xml:space="preserve">2) Pentru opțiunile </w:t>
      </w:r>
      <w:proofErr w:type="spellStart"/>
      <w:r w:rsidRPr="00402B3F">
        <w:rPr>
          <w:color w:val="000000" w:themeColor="text1"/>
          <w:lang w:val="ro-MD" w:eastAsia="ro-MD"/>
        </w:rPr>
        <w:t>call</w:t>
      </w:r>
      <w:proofErr w:type="spellEnd"/>
      <w:r w:rsidRPr="00402B3F">
        <w:rPr>
          <w:color w:val="000000" w:themeColor="text1"/>
          <w:lang w:val="ro-MD" w:eastAsia="ro-MD"/>
        </w:rPr>
        <w:t xml:space="preserve">, valoarea expunerii indirecte este egală cu valoarea de piață a opțiunii. Pentru o poziție lungă în cadrul unei opțiuni </w:t>
      </w:r>
      <w:proofErr w:type="spellStart"/>
      <w:r w:rsidRPr="00402B3F">
        <w:rPr>
          <w:color w:val="000000" w:themeColor="text1"/>
          <w:lang w:val="ro-MD" w:eastAsia="ro-MD"/>
        </w:rPr>
        <w:t>call</w:t>
      </w:r>
      <w:proofErr w:type="spellEnd"/>
      <w:r w:rsidRPr="00402B3F">
        <w:rPr>
          <w:color w:val="000000" w:themeColor="text1"/>
          <w:lang w:val="ro-MD" w:eastAsia="ro-MD"/>
        </w:rPr>
        <w:t xml:space="preserve">, valoarea expunerii indirecte este pozitivă, iar pentru o poziție scurtă în cadrul unei opțiuni </w:t>
      </w:r>
      <w:proofErr w:type="spellStart"/>
      <w:r w:rsidRPr="00402B3F">
        <w:rPr>
          <w:color w:val="000000" w:themeColor="text1"/>
          <w:lang w:val="ro-MD" w:eastAsia="ro-MD"/>
        </w:rPr>
        <w:t>call</w:t>
      </w:r>
      <w:proofErr w:type="spellEnd"/>
      <w:r w:rsidRPr="00402B3F">
        <w:rPr>
          <w:color w:val="000000" w:themeColor="text1"/>
          <w:lang w:val="ro-MD" w:eastAsia="ro-MD"/>
        </w:rPr>
        <w:t>, valoarea expunerii indirecte este negativă.</w:t>
      </w:r>
    </w:p>
    <w:p w14:paraId="6E6C0255" w14:textId="7D8D8B84" w:rsidR="00927EA7"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3) Pentru opțiunile put, valoarea expunerii indirecte este egală cu diferența dintre valoarea de piață a opțiunii și prețul său de exercitare. Pentru o poziție scurtă în cadrul unei opțiuni put, valoarea expunerii indirecte este pozitivă, iar pentru o poziție lungă în cadrul unei opțiuni put, valoarea expunerii indirecte este negativă.</w:t>
      </w:r>
    </w:p>
    <w:p w14:paraId="2F4445E7" w14:textId="3A2E4DD3" w:rsidR="00927EA7"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4) Prin derogare de la subpunctul 3), pentru opțiunile put care nu au un preț de exercitare disponibil la data tranzacției, dar într-o etapă ulterioară, băncile utilizează prețul de exercitare modelat preconizat care este utilizat pentru calcularea valorii juste a opțiunii.</w:t>
      </w:r>
    </w:p>
    <w:p w14:paraId="39A0EA03" w14:textId="1D6C6FB2" w:rsidR="00777F49"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5) În cazul în care valoarea de piață a opțiunii nu este disponibilă la o anumită dată, băncile utilizează valoarea justă a opțiunii la data respectivă. În cazul în care nici valoarea de piață, nici valoarea justă a unei opțiuni nu sunt disponibile la o anumită dată, băncile utilizează cea mai recentă valoare de piață sau valoare justă.</w:t>
      </w:r>
    </w:p>
    <w:p w14:paraId="328B85FB" w14:textId="77777777" w:rsidR="00453271" w:rsidRPr="00402B3F" w:rsidRDefault="00453271" w:rsidP="00AE0F85">
      <w:pPr>
        <w:shd w:val="clear" w:color="auto" w:fill="FFFFFF"/>
        <w:spacing w:before="30"/>
        <w:rPr>
          <w:b/>
          <w:bCs/>
          <w:color w:val="000000" w:themeColor="text1"/>
          <w:lang w:val="ro-MD" w:eastAsia="ro-MD"/>
        </w:rPr>
      </w:pPr>
      <w:r w:rsidRPr="00402B3F">
        <w:rPr>
          <w:b/>
          <w:bCs/>
          <w:color w:val="000000" w:themeColor="text1"/>
          <w:lang w:val="ro-MD" w:eastAsia="ro-MD"/>
        </w:rPr>
        <w:t>3. Calcularea valorii expunerii indirecte pentru contractele derivate de credit</w:t>
      </w:r>
    </w:p>
    <w:p w14:paraId="711B57C6" w14:textId="77777777" w:rsidR="00927EA7"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 xml:space="preserve">1) Valoarea expunerii indirecte față de un client care provine din contractele derivate de credit este egală cu suma dintre valoarea de piață curentă a contractului derivat de credit și cuantumul datorat </w:t>
      </w:r>
      <w:proofErr w:type="spellStart"/>
      <w:r w:rsidRPr="00402B3F">
        <w:rPr>
          <w:color w:val="000000" w:themeColor="text1"/>
          <w:lang w:val="ro-MD" w:eastAsia="ro-MD"/>
        </w:rPr>
        <w:t>contrapărții</w:t>
      </w:r>
      <w:proofErr w:type="spellEnd"/>
      <w:r w:rsidRPr="00402B3F">
        <w:rPr>
          <w:color w:val="000000" w:themeColor="text1"/>
          <w:lang w:val="ro-MD" w:eastAsia="ro-MD"/>
        </w:rPr>
        <w:t xml:space="preserve"> la contractul derivat de credit ca urmare a unei potențiale stări de nerambursare a emitentului instrumentului-suport din care se scade cuantumul datorat băncii de către </w:t>
      </w:r>
      <w:proofErr w:type="spellStart"/>
      <w:r w:rsidRPr="00402B3F">
        <w:rPr>
          <w:color w:val="000000" w:themeColor="text1"/>
          <w:lang w:val="ro-MD" w:eastAsia="ro-MD"/>
        </w:rPr>
        <w:t>contrapartea</w:t>
      </w:r>
      <w:proofErr w:type="spellEnd"/>
      <w:r w:rsidRPr="00402B3F">
        <w:rPr>
          <w:color w:val="000000" w:themeColor="text1"/>
          <w:lang w:val="ro-MD" w:eastAsia="ro-MD"/>
        </w:rPr>
        <w:t xml:space="preserve"> respectivă în cazul respectiv.</w:t>
      </w:r>
    </w:p>
    <w:p w14:paraId="3414E8F6" w14:textId="6CED5444" w:rsidR="00927EA7"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 xml:space="preserve">2) În cazul în care valoarea de piață a unui contract derivat de credit nu este disponibilă la o anumită dată, băncile utilizează valoarea justă a contractului derivat de credit de la data respectivă. În cazul </w:t>
      </w:r>
      <w:r w:rsidRPr="00402B3F">
        <w:rPr>
          <w:color w:val="000000" w:themeColor="text1"/>
          <w:lang w:val="ro-MD" w:eastAsia="ro-MD"/>
        </w:rPr>
        <w:lastRenderedPageBreak/>
        <w:t>în care nici valoarea de piață, nici valoarea justă a contractului derivat de credit nu sunt disponibile la o anumită dată, băncile utilizează cea mai recentă valoare de piață sau valoare</w:t>
      </w:r>
      <w:r w:rsidR="003D27B9">
        <w:rPr>
          <w:color w:val="000000" w:themeColor="text1"/>
          <w:lang w:val="ro-MD" w:eastAsia="ro-MD"/>
        </w:rPr>
        <w:t>a</w:t>
      </w:r>
      <w:r w:rsidRPr="00402B3F">
        <w:rPr>
          <w:color w:val="000000" w:themeColor="text1"/>
          <w:lang w:val="ro-MD" w:eastAsia="ro-MD"/>
        </w:rPr>
        <w:t xml:space="preserve"> justă.</w:t>
      </w:r>
    </w:p>
    <w:p w14:paraId="2B0C3C00" w14:textId="77777777" w:rsidR="00453271" w:rsidRPr="00402B3F" w:rsidRDefault="00453271" w:rsidP="00AE0F85">
      <w:pPr>
        <w:shd w:val="clear" w:color="auto" w:fill="FFFFFF"/>
        <w:spacing w:before="30"/>
        <w:jc w:val="both"/>
        <w:rPr>
          <w:b/>
          <w:bCs/>
          <w:color w:val="000000" w:themeColor="text1"/>
          <w:lang w:val="ro-MD" w:eastAsia="ro-MD"/>
        </w:rPr>
      </w:pPr>
      <w:r w:rsidRPr="00402B3F">
        <w:rPr>
          <w:b/>
          <w:bCs/>
          <w:color w:val="000000" w:themeColor="text1"/>
          <w:lang w:val="ro-MD" w:eastAsia="ro-MD"/>
        </w:rPr>
        <w:t>4. Calcularea valorii expunerii indirecte pentru alte contracte derivate enumerate în anexa nr.1 la Regulamentul nr.114/2018</w:t>
      </w:r>
    </w:p>
    <w:p w14:paraId="0F669A27" w14:textId="5A67D48A" w:rsidR="00453271"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 xml:space="preserve">1) Atunci când calculează valoarea expunerii indirecte față de un client care provine din alte contracte derivate menționate la punctul 1 subpunctul 3), inclusiv </w:t>
      </w:r>
      <w:proofErr w:type="spellStart"/>
      <w:r w:rsidRPr="00402B3F">
        <w:rPr>
          <w:color w:val="000000" w:themeColor="text1"/>
          <w:lang w:val="ro-MD" w:eastAsia="ro-MD"/>
        </w:rPr>
        <w:t>swap</w:t>
      </w:r>
      <w:proofErr w:type="spellEnd"/>
      <w:r w:rsidRPr="00402B3F">
        <w:rPr>
          <w:color w:val="000000" w:themeColor="text1"/>
          <w:lang w:val="ro-MD" w:eastAsia="ro-MD"/>
        </w:rPr>
        <w:t xml:space="preserve">-uri, contracte </w:t>
      </w:r>
      <w:proofErr w:type="spellStart"/>
      <w:r w:rsidRPr="00402B3F">
        <w:rPr>
          <w:color w:val="000000" w:themeColor="text1"/>
          <w:lang w:val="ro-MD" w:eastAsia="ro-MD"/>
        </w:rPr>
        <w:t>futures</w:t>
      </w:r>
      <w:proofErr w:type="spellEnd"/>
      <w:r w:rsidRPr="00402B3F">
        <w:rPr>
          <w:color w:val="000000" w:themeColor="text1"/>
          <w:lang w:val="ro-MD" w:eastAsia="ro-MD"/>
        </w:rPr>
        <w:t xml:space="preserve"> sau </w:t>
      </w:r>
      <w:proofErr w:type="spellStart"/>
      <w:r w:rsidRPr="00402B3F">
        <w:rPr>
          <w:color w:val="000000" w:themeColor="text1"/>
          <w:lang w:val="ro-MD" w:eastAsia="ro-MD"/>
        </w:rPr>
        <w:t>forward</w:t>
      </w:r>
      <w:proofErr w:type="spellEnd"/>
      <w:r w:rsidRPr="00402B3F">
        <w:rPr>
          <w:color w:val="000000" w:themeColor="text1"/>
          <w:lang w:val="ro-MD" w:eastAsia="ro-MD"/>
        </w:rPr>
        <w:t>, băncile descompun segmentele cu tranzacții multiple în segmente cu tranzacții individuale.</w:t>
      </w:r>
    </w:p>
    <w:p w14:paraId="6E348EF3" w14:textId="41B84701" w:rsidR="00453271"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2) </w:t>
      </w:r>
      <w:r w:rsidRPr="0016300B">
        <w:rPr>
          <w:color w:val="000000" w:themeColor="text1"/>
          <w:lang w:val="ro-MD" w:eastAsia="ro-MD"/>
        </w:rPr>
        <w:t>Pentru segmentele de tranzacții menționate la subpunctul 1)</w:t>
      </w:r>
      <w:r w:rsidRPr="0016300B">
        <w:rPr>
          <w:lang w:val="ro-MD"/>
        </w:rPr>
        <w:t xml:space="preserve"> </w:t>
      </w:r>
      <w:r w:rsidR="003D27B9" w:rsidRPr="0016300B">
        <w:rPr>
          <w:lang w:val="ro-MD"/>
        </w:rPr>
        <w:t xml:space="preserve">din </w:t>
      </w:r>
      <w:r w:rsidRPr="0016300B">
        <w:rPr>
          <w:color w:val="000000" w:themeColor="text1"/>
          <w:lang w:val="ro-MD" w:eastAsia="ro-MD"/>
        </w:rPr>
        <w:t>prezentul punct, care implică un risc de nerambursare aferent emitentului instrumentului-suport, băncile își calculează valoarea expunerii indirecte ca și cum acestea ar fi poziții pe segmentele</w:t>
      </w:r>
      <w:r w:rsidRPr="00402B3F">
        <w:rPr>
          <w:color w:val="000000" w:themeColor="text1"/>
          <w:lang w:val="ro-MD" w:eastAsia="ro-MD"/>
        </w:rPr>
        <w:t xml:space="preserve"> respective.</w:t>
      </w:r>
    </w:p>
    <w:p w14:paraId="47C71406" w14:textId="5CC2B485" w:rsidR="00927EA7"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 xml:space="preserve">3) În cazul în care banca nu este în măsură să aplice tratamentul prevăzut la subpunctele 1) și 2) </w:t>
      </w:r>
      <w:r w:rsidR="00813729">
        <w:rPr>
          <w:color w:val="000000" w:themeColor="text1"/>
          <w:lang w:val="ro-MD" w:eastAsia="ro-MD"/>
        </w:rPr>
        <w:t xml:space="preserve">din </w:t>
      </w:r>
      <w:r w:rsidRPr="00402B3F">
        <w:rPr>
          <w:color w:val="000000" w:themeColor="text1"/>
          <w:lang w:val="ro-MD" w:eastAsia="ro-MD"/>
        </w:rPr>
        <w:t>prezentul punct, aceasta determină valoarea expunerii indirecte față de emitentul instrumentelor-suport ca fiind pierderea maximă pe care banca ar suporta-o în urma unei potențiale stări de nerambursare a emitentului instrumentelor-suport la care se referă contractul derivat.</w:t>
      </w:r>
    </w:p>
    <w:p w14:paraId="1672913F" w14:textId="77777777" w:rsidR="00453271" w:rsidRPr="00402B3F" w:rsidRDefault="00453271" w:rsidP="00AE0F85">
      <w:pPr>
        <w:shd w:val="clear" w:color="auto" w:fill="FFFFFF"/>
        <w:spacing w:before="30"/>
        <w:jc w:val="both"/>
        <w:rPr>
          <w:b/>
          <w:bCs/>
          <w:color w:val="000000" w:themeColor="text1"/>
          <w:lang w:val="ro-MD" w:eastAsia="ro-MD"/>
        </w:rPr>
      </w:pPr>
      <w:r w:rsidRPr="00402B3F">
        <w:rPr>
          <w:b/>
          <w:bCs/>
          <w:color w:val="000000" w:themeColor="text1"/>
          <w:lang w:val="ro-MD" w:eastAsia="ro-MD"/>
        </w:rPr>
        <w:t>5. Calcularea valorilor expunerilor indirecte care provin din contracte derivate cu mai multe instrumente-suport</w:t>
      </w:r>
    </w:p>
    <w:p w14:paraId="38E17989" w14:textId="6405C38C" w:rsidR="00927EA7"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 xml:space="preserve">1) Atunci când determină valoarea expunerii indirecte față de un client care provine din contracte derivate subscrise pe indici pe datorii, pe acțiuni sau pe </w:t>
      </w:r>
      <w:proofErr w:type="spellStart"/>
      <w:r w:rsidRPr="00402B3F">
        <w:rPr>
          <w:color w:val="000000" w:themeColor="text1"/>
          <w:lang w:val="ro-MD" w:eastAsia="ro-MD"/>
        </w:rPr>
        <w:t>swap</w:t>
      </w:r>
      <w:proofErr w:type="spellEnd"/>
      <w:r w:rsidRPr="00402B3F">
        <w:rPr>
          <w:color w:val="000000" w:themeColor="text1"/>
          <w:lang w:val="ro-MD" w:eastAsia="ro-MD"/>
        </w:rPr>
        <w:t>-uri pe riscul de credit ori pe un organism de plasament colectiv, sau cu mai multe nume de referință suport, băncile aplică abordarea de tip </w:t>
      </w:r>
      <w:r w:rsidRPr="00402B3F">
        <w:rPr>
          <w:i/>
          <w:iCs/>
          <w:color w:val="000000" w:themeColor="text1"/>
          <w:lang w:val="ro-MD" w:eastAsia="ro-MD"/>
        </w:rPr>
        <w:t xml:space="preserve">look </w:t>
      </w:r>
      <w:proofErr w:type="spellStart"/>
      <w:r w:rsidRPr="00402B3F">
        <w:rPr>
          <w:i/>
          <w:iCs/>
          <w:color w:val="000000" w:themeColor="text1"/>
          <w:lang w:val="ro-MD" w:eastAsia="ro-MD"/>
        </w:rPr>
        <w:t>through</w:t>
      </w:r>
      <w:proofErr w:type="spellEnd"/>
      <w:r w:rsidRPr="00402B3F">
        <w:rPr>
          <w:color w:val="000000" w:themeColor="text1"/>
          <w:lang w:val="ro-MD" w:eastAsia="ro-MD"/>
        </w:rPr>
        <w:t> la toate instrumentele-suport individuale și calculează valorile expunerilor indirecte ca variație a prețului contractului derivat în caz de stare de nerambursare a fiecăruia dintre numele de referință suport. Băncile atribuie fiecare valoare a expunerii indirecte fie unui client identificat, fie unui client distinct, fie clientului necunoscut, astfel cum se prevede în punctele 8-12 din anexa nr.1 la prezentul regulament.</w:t>
      </w:r>
    </w:p>
    <w:p w14:paraId="2047E568" w14:textId="344382A2" w:rsidR="00453271"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2) În cazul în care banca nu poate să aplice abordarea de tip </w:t>
      </w:r>
      <w:r w:rsidRPr="00402B3F">
        <w:rPr>
          <w:i/>
          <w:iCs/>
          <w:color w:val="000000" w:themeColor="text1"/>
          <w:lang w:val="ro-MD" w:eastAsia="ro-MD"/>
        </w:rPr>
        <w:t xml:space="preserve">look </w:t>
      </w:r>
      <w:proofErr w:type="spellStart"/>
      <w:r w:rsidRPr="00402B3F">
        <w:rPr>
          <w:i/>
          <w:iCs/>
          <w:color w:val="000000" w:themeColor="text1"/>
          <w:lang w:val="ro-MD" w:eastAsia="ro-MD"/>
        </w:rPr>
        <w:t>through</w:t>
      </w:r>
      <w:proofErr w:type="spellEnd"/>
      <w:r w:rsidRPr="00402B3F">
        <w:rPr>
          <w:color w:val="000000" w:themeColor="text1"/>
          <w:lang w:val="ro-MD" w:eastAsia="ro-MD"/>
        </w:rPr>
        <w:t> la toate instrumentele-suport individuale ale contractului derivat, astfel cum se prevede la subpunctul 1)</w:t>
      </w:r>
      <w:r w:rsidR="000C7BB4" w:rsidRPr="00402B3F">
        <w:rPr>
          <w:color w:val="000000" w:themeColor="text1"/>
          <w:lang w:val="ro-MD" w:eastAsia="ro-MD"/>
        </w:rPr>
        <w:t xml:space="preserve"> </w:t>
      </w:r>
      <w:r w:rsidR="000A4664">
        <w:rPr>
          <w:color w:val="000000" w:themeColor="text1"/>
          <w:lang w:val="ro-MD" w:eastAsia="ro-MD"/>
        </w:rPr>
        <w:t xml:space="preserve">din </w:t>
      </w:r>
      <w:r w:rsidR="000C7BB4" w:rsidRPr="00402B3F">
        <w:rPr>
          <w:color w:val="000000" w:themeColor="text1"/>
          <w:lang w:val="ro-MD" w:eastAsia="ro-MD"/>
        </w:rPr>
        <w:t>prezentul punct</w:t>
      </w:r>
      <w:r w:rsidRPr="00402B3F">
        <w:rPr>
          <w:color w:val="000000" w:themeColor="text1"/>
          <w:lang w:val="ro-MD" w:eastAsia="ro-MD"/>
        </w:rPr>
        <w:t xml:space="preserve"> sau în cazul în care acest lucru ar fi excesiv de împovărător pentru bancă, aceasta:</w:t>
      </w:r>
    </w:p>
    <w:p w14:paraId="01388C3E" w14:textId="1CF75C31" w:rsidR="00453271"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a) aplică abordarea de tip </w:t>
      </w:r>
      <w:r w:rsidRPr="00402B3F">
        <w:rPr>
          <w:i/>
          <w:iCs/>
          <w:color w:val="000000" w:themeColor="text1"/>
          <w:lang w:val="ro-MD" w:eastAsia="ro-MD"/>
        </w:rPr>
        <w:t xml:space="preserve">look </w:t>
      </w:r>
      <w:proofErr w:type="spellStart"/>
      <w:r w:rsidRPr="00402B3F">
        <w:rPr>
          <w:i/>
          <w:iCs/>
          <w:color w:val="000000" w:themeColor="text1"/>
          <w:lang w:val="ro-MD" w:eastAsia="ro-MD"/>
        </w:rPr>
        <w:t>through</w:t>
      </w:r>
      <w:proofErr w:type="spellEnd"/>
      <w:r w:rsidRPr="00402B3F">
        <w:rPr>
          <w:color w:val="000000" w:themeColor="text1"/>
          <w:lang w:val="ro-MD" w:eastAsia="ro-MD"/>
        </w:rPr>
        <w:t xml:space="preserve"> la instrumentele-suport individuale la care banca poate să facă aceasta sau în privința cărora nu ar fi excesiv de împovărător pentru bancă să facă aceasta și calculează valoarea expunerii indirecte în conformitate cu subpunctul 1) </w:t>
      </w:r>
      <w:r w:rsidR="000A4664">
        <w:rPr>
          <w:color w:val="000000" w:themeColor="text1"/>
          <w:lang w:val="ro-MD" w:eastAsia="ro-MD"/>
        </w:rPr>
        <w:t xml:space="preserve">din </w:t>
      </w:r>
      <w:r w:rsidRPr="00402B3F">
        <w:rPr>
          <w:color w:val="000000" w:themeColor="text1"/>
          <w:lang w:val="ro-MD" w:eastAsia="ro-MD"/>
        </w:rPr>
        <w:t>prezentul punct;</w:t>
      </w:r>
    </w:p>
    <w:p w14:paraId="37DF884E" w14:textId="77777777" w:rsidR="00453271" w:rsidRPr="00402B3F" w:rsidRDefault="00453271" w:rsidP="00453271">
      <w:pPr>
        <w:shd w:val="clear" w:color="auto" w:fill="FFFFFF"/>
        <w:jc w:val="both"/>
        <w:rPr>
          <w:color w:val="000000" w:themeColor="text1"/>
          <w:lang w:val="ro-MD" w:eastAsia="ro-MD"/>
        </w:rPr>
      </w:pPr>
      <w:r w:rsidRPr="00402B3F">
        <w:rPr>
          <w:color w:val="000000" w:themeColor="text1"/>
          <w:lang w:val="ro-MD" w:eastAsia="ro-MD"/>
        </w:rPr>
        <w:t>b) în cazul instrumentelor-suport la care banca nu poate să aplice abordarea de tip </w:t>
      </w:r>
      <w:r w:rsidRPr="00402B3F">
        <w:rPr>
          <w:i/>
          <w:iCs/>
          <w:color w:val="000000" w:themeColor="text1"/>
          <w:lang w:val="ro-MD" w:eastAsia="ro-MD"/>
        </w:rPr>
        <w:t xml:space="preserve">look </w:t>
      </w:r>
      <w:proofErr w:type="spellStart"/>
      <w:r w:rsidRPr="00402B3F">
        <w:rPr>
          <w:i/>
          <w:iCs/>
          <w:color w:val="000000" w:themeColor="text1"/>
          <w:lang w:val="ro-MD" w:eastAsia="ro-MD"/>
        </w:rPr>
        <w:t>through</w:t>
      </w:r>
      <w:proofErr w:type="spellEnd"/>
      <w:r w:rsidRPr="00402B3F">
        <w:rPr>
          <w:color w:val="000000" w:themeColor="text1"/>
          <w:lang w:val="ro-MD" w:eastAsia="ro-MD"/>
        </w:rPr>
        <w:t> sau în privința cărora ar fi excesiv de împovărător pentru o bancă să facă aceasta, banca calculează valoarea expunerii indirecte analizând variația prețului contractului derivat în caz de stare de nerambursare a tuturor respectivelor nume de referință suport. În acest caz, valoarea expunerii indirecte se atribuie fie tranzacției cu instrumente financiare derivate în calitate de client distinct, fie clientului necunoscut, astfel cum se prevede la punctul 10 din anexa nr.1 la prezentul regulament.</w:t>
      </w:r>
    </w:p>
    <w:p w14:paraId="137BEF92" w14:textId="58988763" w:rsidR="00453271" w:rsidRPr="00402B3F" w:rsidRDefault="00453271" w:rsidP="00453271">
      <w:pPr>
        <w:shd w:val="clear" w:color="auto" w:fill="FFFFFF"/>
        <w:jc w:val="both"/>
        <w:rPr>
          <w:lang w:val="ro-MD"/>
        </w:rPr>
      </w:pPr>
      <w:r w:rsidRPr="00402B3F">
        <w:rPr>
          <w:color w:val="000000" w:themeColor="text1"/>
          <w:lang w:val="ro-MD" w:eastAsia="ro-MD"/>
        </w:rPr>
        <w:t xml:space="preserve">3) Prin derogare de la subpunctele 1) și 2) </w:t>
      </w:r>
      <w:r w:rsidR="000A4664">
        <w:rPr>
          <w:color w:val="000000" w:themeColor="text1"/>
          <w:lang w:val="ro-MD" w:eastAsia="ro-MD"/>
        </w:rPr>
        <w:t xml:space="preserve">din </w:t>
      </w:r>
      <w:r w:rsidRPr="00402B3F">
        <w:rPr>
          <w:color w:val="000000" w:themeColor="text1"/>
          <w:lang w:val="ro-MD" w:eastAsia="ro-MD"/>
        </w:rPr>
        <w:t>prezentul punct, în cazul în care valorile expunerilor indirecte urmează să fie atribuite clientului necunoscut, astfel cum se prevede la punctele 9-10 din anexa nr.1 la prezentul regulament, și în cazul în care valorile expunerilor indirecte sunt negative, banca stabilește la zero aceste valori ale expunerilor indirecte înainte de a le lua în calcul pentru expunerile față de clientul necunoscut.</w:t>
      </w:r>
      <w:r w:rsidR="008A1B46" w:rsidRPr="00402B3F">
        <w:rPr>
          <w:lang w:val="ro-MD"/>
        </w:rPr>
        <w:t>”.</w:t>
      </w:r>
    </w:p>
    <w:p w14:paraId="62E447ED" w14:textId="3A0F4F63" w:rsidR="00F222FB" w:rsidRPr="00402B3F" w:rsidRDefault="00417162" w:rsidP="00AE0F85">
      <w:pPr>
        <w:shd w:val="clear" w:color="auto" w:fill="FFFFFF"/>
        <w:spacing w:before="120"/>
        <w:jc w:val="both"/>
        <w:rPr>
          <w:lang w:val="ro-MD"/>
        </w:rPr>
      </w:pPr>
      <w:r w:rsidRPr="00402B3F">
        <w:rPr>
          <w:b/>
          <w:bCs/>
          <w:color w:val="000000" w:themeColor="text1"/>
          <w:lang w:val="ro-MD" w:eastAsia="ro-MD"/>
        </w:rPr>
        <w:t xml:space="preserve">2. </w:t>
      </w:r>
      <w:bookmarkStart w:id="2" w:name="_Hlk78366134"/>
      <w:r w:rsidR="002865EE" w:rsidRPr="00402B3F">
        <w:rPr>
          <w:lang w:val="ro-MD"/>
        </w:rPr>
        <w:t>Prezenta hotărâre intră în vigoare</w:t>
      </w:r>
      <w:r w:rsidR="00426559" w:rsidRPr="00402B3F">
        <w:rPr>
          <w:lang w:val="ro-MD"/>
        </w:rPr>
        <w:t xml:space="preserve"> peste o lună de la</w:t>
      </w:r>
      <w:r w:rsidR="006C7E90" w:rsidRPr="00402B3F">
        <w:rPr>
          <w:lang w:val="ro-MD"/>
        </w:rPr>
        <w:t xml:space="preserve"> data </w:t>
      </w:r>
      <w:r w:rsidR="00911C44" w:rsidRPr="00402B3F">
        <w:rPr>
          <w:lang w:val="ro-MD"/>
        </w:rPr>
        <w:t xml:space="preserve">publicării în Monitorul Oficial al </w:t>
      </w:r>
      <w:r w:rsidR="00701E49" w:rsidRPr="00402B3F">
        <w:rPr>
          <w:lang w:val="ro-MD"/>
        </w:rPr>
        <w:t>R</w:t>
      </w:r>
      <w:r w:rsidR="00911C44" w:rsidRPr="00402B3F">
        <w:rPr>
          <w:lang w:val="ro-MD"/>
        </w:rPr>
        <w:t>epublicii Moldova</w:t>
      </w:r>
      <w:r w:rsidR="002865EE" w:rsidRPr="00402B3F">
        <w:rPr>
          <w:lang w:val="ro-MD"/>
        </w:rPr>
        <w:t>.</w:t>
      </w:r>
      <w:bookmarkEnd w:id="2"/>
    </w:p>
    <w:sectPr w:rsidR="00F222FB" w:rsidRPr="00402B3F" w:rsidSect="00952526">
      <w:headerReference w:type="even" r:id="rId12"/>
      <w:headerReference w:type="default" r:id="rId13"/>
      <w:footerReference w:type="even" r:id="rId14"/>
      <w:footerReference w:type="default" r:id="rId15"/>
      <w:headerReference w:type="first" r:id="rId16"/>
      <w:footerReference w:type="first" r:id="rId17"/>
      <w:pgSz w:w="12240" w:h="15840"/>
      <w:pgMar w:top="993" w:right="104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81136" w14:textId="77777777" w:rsidR="00593FA2" w:rsidRDefault="00593FA2" w:rsidP="00D5426C">
      <w:r>
        <w:separator/>
      </w:r>
    </w:p>
  </w:endnote>
  <w:endnote w:type="continuationSeparator" w:id="0">
    <w:p w14:paraId="7941ED7B" w14:textId="77777777" w:rsidR="00593FA2" w:rsidRDefault="00593FA2"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A2770" w14:textId="3A62C60B" w:rsidR="00275D6F" w:rsidRDefault="00275D6F">
    <w:pPr>
      <w:pStyle w:val="Footer"/>
      <w:jc w:val="right"/>
    </w:pPr>
  </w:p>
  <w:sdt>
    <w:sdtPr>
      <w:id w:val="-868296549"/>
      <w:docPartObj>
        <w:docPartGallery w:val="Page Numbers (Bottom of Page)"/>
        <w:docPartUnique/>
      </w:docPartObj>
    </w:sdtPr>
    <w:sdtEndPr>
      <w:rPr>
        <w:noProof/>
      </w:rPr>
    </w:sdtEndPr>
    <w:sdtContent>
      <w:p w14:paraId="5DEA39ED" w14:textId="77777777"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94353" w14:textId="799A9569" w:rsidR="00275D6F" w:rsidRDefault="00275D6F" w:rsidP="00D5426C">
    <w:pPr>
      <w:pStyle w:val="Footer"/>
      <w:jc w:val="center"/>
    </w:pPr>
    <w:bookmarkStart w:id="4" w:name="TITUS1FooterPrimary"/>
    <w:r>
      <w:t xml:space="preserve"> </w:t>
    </w:r>
  </w:p>
  <w:p w14:paraId="3E4873A9" w14:textId="77777777" w:rsidR="00275D6F" w:rsidRDefault="00275D6F" w:rsidP="00D5426C">
    <w:pPr>
      <w:pStyle w:val="Footer"/>
    </w:pPr>
    <w:r>
      <w:t xml:space="preserve"> </w:t>
    </w:r>
  </w:p>
  <w:bookmarkEnd w:id="4"/>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E5E7" w14:textId="1EAD4E1E" w:rsidR="006B708B" w:rsidRDefault="006B7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E04BD" w14:textId="77777777" w:rsidR="00593FA2" w:rsidRDefault="00593FA2" w:rsidP="00D5426C">
      <w:r>
        <w:separator/>
      </w:r>
    </w:p>
  </w:footnote>
  <w:footnote w:type="continuationSeparator" w:id="0">
    <w:p w14:paraId="4B89955D" w14:textId="77777777" w:rsidR="00593FA2" w:rsidRDefault="00593FA2"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413" w14:textId="3FD30D2D" w:rsidR="00275D6F" w:rsidRDefault="00275D6F" w:rsidP="00D5426C">
    <w:pPr>
      <w:pStyle w:val="Header"/>
      <w:jc w:val="right"/>
    </w:pPr>
    <w:bookmarkStart w:id="3" w:name="TITUS1HeaderEvenPages"/>
    <w:r>
      <w:t xml:space="preserve"> </w:t>
    </w:r>
  </w:p>
  <w:bookmarkEnd w:id="3"/>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E464" w14:textId="23BA5EC9" w:rsidR="00275D6F" w:rsidRPr="00780CB8" w:rsidRDefault="00275D6F" w:rsidP="002260D4">
    <w:pPr>
      <w:pStyle w:val="Header"/>
      <w:jc w:val="right"/>
      <w:rPr>
        <w:b/>
        <w:bCs/>
        <w:sz w:val="32"/>
        <w:szCs w:val="32"/>
        <w:lang w:val="ro-M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69090" w14:textId="76B89F0B" w:rsidR="00275D6F" w:rsidRPr="001409D9" w:rsidRDefault="00275D6F"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04AC"/>
    <w:multiLevelType w:val="hybridMultilevel"/>
    <w:tmpl w:val="CA54ACD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EF44B3"/>
    <w:multiLevelType w:val="hybridMultilevel"/>
    <w:tmpl w:val="97F05F2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3C1820DF"/>
    <w:multiLevelType w:val="hybridMultilevel"/>
    <w:tmpl w:val="69C4192E"/>
    <w:lvl w:ilvl="0" w:tplc="08180017">
      <w:start w:val="1"/>
      <w:numFmt w:val="lowerLetter"/>
      <w:lvlText w:val="%1)"/>
      <w:lvlJc w:val="left"/>
      <w:pPr>
        <w:ind w:left="1647" w:hanging="360"/>
      </w:p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11"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 w15:restartNumberingAfterBreak="0">
    <w:nsid w:val="562E5C71"/>
    <w:multiLevelType w:val="hybridMultilevel"/>
    <w:tmpl w:val="5B762ED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9"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3"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070"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abstractNum w:abstractNumId="28" w15:restartNumberingAfterBreak="0">
    <w:nsid w:val="7E973E66"/>
    <w:multiLevelType w:val="hybridMultilevel"/>
    <w:tmpl w:val="02086B7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
  </w:num>
  <w:num w:numId="14">
    <w:abstractNumId w:val="3"/>
  </w:num>
  <w:num w:numId="15">
    <w:abstractNumId w:val="11"/>
  </w:num>
  <w:num w:numId="16">
    <w:abstractNumId w:val="6"/>
  </w:num>
  <w:num w:numId="17">
    <w:abstractNumId w:val="26"/>
  </w:num>
  <w:num w:numId="18">
    <w:abstractNumId w:val="20"/>
  </w:num>
  <w:num w:numId="19">
    <w:abstractNumId w:val="7"/>
  </w:num>
  <w:num w:numId="20">
    <w:abstractNumId w:val="1"/>
  </w:num>
  <w:num w:numId="21">
    <w:abstractNumId w:val="4"/>
  </w:num>
  <w:num w:numId="22">
    <w:abstractNumId w:val="12"/>
  </w:num>
  <w:num w:numId="23">
    <w:abstractNumId w:val="21"/>
  </w:num>
  <w:num w:numId="24">
    <w:abstractNumId w:val="19"/>
  </w:num>
  <w:num w:numId="25">
    <w:abstractNumId w:val="13"/>
  </w:num>
  <w:num w:numId="26">
    <w:abstractNumId w:val="5"/>
  </w:num>
  <w:num w:numId="27">
    <w:abstractNumId w:val="16"/>
  </w:num>
  <w:num w:numId="28">
    <w:abstractNumId w:val="0"/>
  </w:num>
  <w:num w:numId="29">
    <w:abstractNumId w:val="28"/>
  </w:num>
  <w:num w:numId="30">
    <w:abstractNumId w:val="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D1"/>
    <w:rsid w:val="00000563"/>
    <w:rsid w:val="00000A1E"/>
    <w:rsid w:val="00002E40"/>
    <w:rsid w:val="00004C9C"/>
    <w:rsid w:val="000062E8"/>
    <w:rsid w:val="00012136"/>
    <w:rsid w:val="00013153"/>
    <w:rsid w:val="00013BD2"/>
    <w:rsid w:val="00015A00"/>
    <w:rsid w:val="00015F9E"/>
    <w:rsid w:val="00016213"/>
    <w:rsid w:val="0001648A"/>
    <w:rsid w:val="00016FD7"/>
    <w:rsid w:val="00022040"/>
    <w:rsid w:val="00022961"/>
    <w:rsid w:val="0002449C"/>
    <w:rsid w:val="000271BA"/>
    <w:rsid w:val="00031C90"/>
    <w:rsid w:val="0003245D"/>
    <w:rsid w:val="0003291F"/>
    <w:rsid w:val="00033BE2"/>
    <w:rsid w:val="00033CC2"/>
    <w:rsid w:val="0003402E"/>
    <w:rsid w:val="00034D45"/>
    <w:rsid w:val="00034ECD"/>
    <w:rsid w:val="000363F6"/>
    <w:rsid w:val="000365C1"/>
    <w:rsid w:val="00036A2E"/>
    <w:rsid w:val="000415C8"/>
    <w:rsid w:val="00042580"/>
    <w:rsid w:val="00042943"/>
    <w:rsid w:val="00046830"/>
    <w:rsid w:val="000469AC"/>
    <w:rsid w:val="0004725A"/>
    <w:rsid w:val="000477DB"/>
    <w:rsid w:val="00050E7E"/>
    <w:rsid w:val="0005138E"/>
    <w:rsid w:val="000513F6"/>
    <w:rsid w:val="0005444E"/>
    <w:rsid w:val="000567C0"/>
    <w:rsid w:val="00057B60"/>
    <w:rsid w:val="00060555"/>
    <w:rsid w:val="00061719"/>
    <w:rsid w:val="000638E9"/>
    <w:rsid w:val="00066014"/>
    <w:rsid w:val="00066F44"/>
    <w:rsid w:val="000723FD"/>
    <w:rsid w:val="00072CC5"/>
    <w:rsid w:val="000730E4"/>
    <w:rsid w:val="0007413A"/>
    <w:rsid w:val="00075419"/>
    <w:rsid w:val="00075C2D"/>
    <w:rsid w:val="0007653E"/>
    <w:rsid w:val="000771C6"/>
    <w:rsid w:val="000804F1"/>
    <w:rsid w:val="000807AB"/>
    <w:rsid w:val="00080984"/>
    <w:rsid w:val="00083C8C"/>
    <w:rsid w:val="00084DA9"/>
    <w:rsid w:val="00085B0E"/>
    <w:rsid w:val="00085BF6"/>
    <w:rsid w:val="00086662"/>
    <w:rsid w:val="000868D8"/>
    <w:rsid w:val="00090870"/>
    <w:rsid w:val="00090E77"/>
    <w:rsid w:val="00091C2F"/>
    <w:rsid w:val="00092360"/>
    <w:rsid w:val="00092B8E"/>
    <w:rsid w:val="00095646"/>
    <w:rsid w:val="00095E2F"/>
    <w:rsid w:val="000964CF"/>
    <w:rsid w:val="000A11E4"/>
    <w:rsid w:val="000A4291"/>
    <w:rsid w:val="000A4376"/>
    <w:rsid w:val="000A4664"/>
    <w:rsid w:val="000A47CB"/>
    <w:rsid w:val="000A4CB1"/>
    <w:rsid w:val="000A7BAC"/>
    <w:rsid w:val="000B10CF"/>
    <w:rsid w:val="000B355C"/>
    <w:rsid w:val="000B3CD0"/>
    <w:rsid w:val="000B4B74"/>
    <w:rsid w:val="000B7B64"/>
    <w:rsid w:val="000B7F40"/>
    <w:rsid w:val="000C0050"/>
    <w:rsid w:val="000C0C20"/>
    <w:rsid w:val="000C4044"/>
    <w:rsid w:val="000C632E"/>
    <w:rsid w:val="000C7BB4"/>
    <w:rsid w:val="000D34B8"/>
    <w:rsid w:val="000D3711"/>
    <w:rsid w:val="000D401A"/>
    <w:rsid w:val="000E7243"/>
    <w:rsid w:val="000E7726"/>
    <w:rsid w:val="000F0B03"/>
    <w:rsid w:val="000F0C57"/>
    <w:rsid w:val="000F15A8"/>
    <w:rsid w:val="000F18DA"/>
    <w:rsid w:val="000F1C4E"/>
    <w:rsid w:val="000F219D"/>
    <w:rsid w:val="000F36E4"/>
    <w:rsid w:val="000F4D92"/>
    <w:rsid w:val="000F602B"/>
    <w:rsid w:val="000F6FC6"/>
    <w:rsid w:val="000F7F6A"/>
    <w:rsid w:val="0010486A"/>
    <w:rsid w:val="00105408"/>
    <w:rsid w:val="001059EF"/>
    <w:rsid w:val="00107A0C"/>
    <w:rsid w:val="00107C55"/>
    <w:rsid w:val="00114DA8"/>
    <w:rsid w:val="001161B2"/>
    <w:rsid w:val="00117AD7"/>
    <w:rsid w:val="0012202A"/>
    <w:rsid w:val="00123A40"/>
    <w:rsid w:val="00125281"/>
    <w:rsid w:val="001263A3"/>
    <w:rsid w:val="00126865"/>
    <w:rsid w:val="001274C3"/>
    <w:rsid w:val="00127FB7"/>
    <w:rsid w:val="00130B29"/>
    <w:rsid w:val="001356E0"/>
    <w:rsid w:val="00136205"/>
    <w:rsid w:val="0013698F"/>
    <w:rsid w:val="00136B46"/>
    <w:rsid w:val="00136E89"/>
    <w:rsid w:val="001409D9"/>
    <w:rsid w:val="001455A6"/>
    <w:rsid w:val="00147E3F"/>
    <w:rsid w:val="00151E45"/>
    <w:rsid w:val="0016016F"/>
    <w:rsid w:val="00160864"/>
    <w:rsid w:val="00161438"/>
    <w:rsid w:val="00161CD5"/>
    <w:rsid w:val="00162EF7"/>
    <w:rsid w:val="0016300B"/>
    <w:rsid w:val="001641E3"/>
    <w:rsid w:val="00165F1B"/>
    <w:rsid w:val="0016680C"/>
    <w:rsid w:val="00166D3F"/>
    <w:rsid w:val="001671FE"/>
    <w:rsid w:val="00167A8E"/>
    <w:rsid w:val="00172629"/>
    <w:rsid w:val="001727BF"/>
    <w:rsid w:val="00172BD0"/>
    <w:rsid w:val="00172E97"/>
    <w:rsid w:val="0017349E"/>
    <w:rsid w:val="00175CD2"/>
    <w:rsid w:val="00176131"/>
    <w:rsid w:val="001762E1"/>
    <w:rsid w:val="00180AB8"/>
    <w:rsid w:val="0018298B"/>
    <w:rsid w:val="00183266"/>
    <w:rsid w:val="001866E8"/>
    <w:rsid w:val="00186DD2"/>
    <w:rsid w:val="00192546"/>
    <w:rsid w:val="001939FD"/>
    <w:rsid w:val="001951E4"/>
    <w:rsid w:val="00195530"/>
    <w:rsid w:val="00196B11"/>
    <w:rsid w:val="00197C9F"/>
    <w:rsid w:val="00197E52"/>
    <w:rsid w:val="001A059E"/>
    <w:rsid w:val="001A0608"/>
    <w:rsid w:val="001A1FC6"/>
    <w:rsid w:val="001A2628"/>
    <w:rsid w:val="001A2D08"/>
    <w:rsid w:val="001A363D"/>
    <w:rsid w:val="001A36F3"/>
    <w:rsid w:val="001A3F78"/>
    <w:rsid w:val="001A42E6"/>
    <w:rsid w:val="001A543C"/>
    <w:rsid w:val="001A7BB9"/>
    <w:rsid w:val="001B04C4"/>
    <w:rsid w:val="001B0D5A"/>
    <w:rsid w:val="001B2B86"/>
    <w:rsid w:val="001B2EC8"/>
    <w:rsid w:val="001B35E4"/>
    <w:rsid w:val="001B3F42"/>
    <w:rsid w:val="001B54B3"/>
    <w:rsid w:val="001C0DAE"/>
    <w:rsid w:val="001C0FA8"/>
    <w:rsid w:val="001C0FC3"/>
    <w:rsid w:val="001C126B"/>
    <w:rsid w:val="001C525E"/>
    <w:rsid w:val="001C68E3"/>
    <w:rsid w:val="001D22AA"/>
    <w:rsid w:val="001D3052"/>
    <w:rsid w:val="001D4A7A"/>
    <w:rsid w:val="001D7176"/>
    <w:rsid w:val="001E47DD"/>
    <w:rsid w:val="001E526E"/>
    <w:rsid w:val="001E52F0"/>
    <w:rsid w:val="001E5748"/>
    <w:rsid w:val="001E576A"/>
    <w:rsid w:val="001F0AB9"/>
    <w:rsid w:val="001F11FC"/>
    <w:rsid w:val="001F207B"/>
    <w:rsid w:val="001F20CB"/>
    <w:rsid w:val="001F4731"/>
    <w:rsid w:val="001F4CA0"/>
    <w:rsid w:val="001F693C"/>
    <w:rsid w:val="001F77E0"/>
    <w:rsid w:val="00202A85"/>
    <w:rsid w:val="002058EF"/>
    <w:rsid w:val="00207EE7"/>
    <w:rsid w:val="002108CF"/>
    <w:rsid w:val="00211BE1"/>
    <w:rsid w:val="00213986"/>
    <w:rsid w:val="002150E3"/>
    <w:rsid w:val="002155A2"/>
    <w:rsid w:val="00216650"/>
    <w:rsid w:val="0021784F"/>
    <w:rsid w:val="00220161"/>
    <w:rsid w:val="0022375A"/>
    <w:rsid w:val="00223BE6"/>
    <w:rsid w:val="00223C31"/>
    <w:rsid w:val="00224F94"/>
    <w:rsid w:val="00225688"/>
    <w:rsid w:val="00225BE1"/>
    <w:rsid w:val="002260D4"/>
    <w:rsid w:val="00230594"/>
    <w:rsid w:val="0023162C"/>
    <w:rsid w:val="00234B2B"/>
    <w:rsid w:val="002404C9"/>
    <w:rsid w:val="00243CD1"/>
    <w:rsid w:val="00244131"/>
    <w:rsid w:val="00245F14"/>
    <w:rsid w:val="002466DD"/>
    <w:rsid w:val="00250DA9"/>
    <w:rsid w:val="00251C13"/>
    <w:rsid w:val="00253231"/>
    <w:rsid w:val="002576C9"/>
    <w:rsid w:val="00261736"/>
    <w:rsid w:val="00264B1D"/>
    <w:rsid w:val="00265F43"/>
    <w:rsid w:val="00266CFA"/>
    <w:rsid w:val="0027079C"/>
    <w:rsid w:val="00270BF0"/>
    <w:rsid w:val="00275D6F"/>
    <w:rsid w:val="002769FD"/>
    <w:rsid w:val="002774BE"/>
    <w:rsid w:val="00280A74"/>
    <w:rsid w:val="002812A4"/>
    <w:rsid w:val="002819C0"/>
    <w:rsid w:val="00281C0F"/>
    <w:rsid w:val="002823F6"/>
    <w:rsid w:val="002832A1"/>
    <w:rsid w:val="0028542D"/>
    <w:rsid w:val="00285916"/>
    <w:rsid w:val="00285E0B"/>
    <w:rsid w:val="002865EE"/>
    <w:rsid w:val="00287672"/>
    <w:rsid w:val="00287FE5"/>
    <w:rsid w:val="0029237B"/>
    <w:rsid w:val="00292716"/>
    <w:rsid w:val="002957FA"/>
    <w:rsid w:val="00297CF0"/>
    <w:rsid w:val="002A3FEF"/>
    <w:rsid w:val="002A428C"/>
    <w:rsid w:val="002A454D"/>
    <w:rsid w:val="002A4958"/>
    <w:rsid w:val="002A6352"/>
    <w:rsid w:val="002A66FF"/>
    <w:rsid w:val="002A77A7"/>
    <w:rsid w:val="002B327D"/>
    <w:rsid w:val="002B3E07"/>
    <w:rsid w:val="002B408F"/>
    <w:rsid w:val="002B50E5"/>
    <w:rsid w:val="002B5D3B"/>
    <w:rsid w:val="002B6094"/>
    <w:rsid w:val="002B7D1D"/>
    <w:rsid w:val="002C1340"/>
    <w:rsid w:val="002C2922"/>
    <w:rsid w:val="002C37A0"/>
    <w:rsid w:val="002C3F59"/>
    <w:rsid w:val="002C4EC3"/>
    <w:rsid w:val="002C53A0"/>
    <w:rsid w:val="002C55DA"/>
    <w:rsid w:val="002C7BCA"/>
    <w:rsid w:val="002D003F"/>
    <w:rsid w:val="002D1F0D"/>
    <w:rsid w:val="002D2601"/>
    <w:rsid w:val="002D3C45"/>
    <w:rsid w:val="002D4705"/>
    <w:rsid w:val="002D49EE"/>
    <w:rsid w:val="002D545C"/>
    <w:rsid w:val="002D72E5"/>
    <w:rsid w:val="002E07B8"/>
    <w:rsid w:val="002E0D6C"/>
    <w:rsid w:val="002E2BAC"/>
    <w:rsid w:val="002E52DB"/>
    <w:rsid w:val="002E67F7"/>
    <w:rsid w:val="002F07E9"/>
    <w:rsid w:val="002F11C8"/>
    <w:rsid w:val="002F33F6"/>
    <w:rsid w:val="002F7965"/>
    <w:rsid w:val="00306342"/>
    <w:rsid w:val="0030664B"/>
    <w:rsid w:val="00306A5C"/>
    <w:rsid w:val="00307F98"/>
    <w:rsid w:val="0031060F"/>
    <w:rsid w:val="0031149F"/>
    <w:rsid w:val="003122C9"/>
    <w:rsid w:val="003128A1"/>
    <w:rsid w:val="00312C44"/>
    <w:rsid w:val="003132B5"/>
    <w:rsid w:val="00313337"/>
    <w:rsid w:val="003138C6"/>
    <w:rsid w:val="00315A53"/>
    <w:rsid w:val="003208C5"/>
    <w:rsid w:val="00321B5E"/>
    <w:rsid w:val="00323322"/>
    <w:rsid w:val="00324317"/>
    <w:rsid w:val="00324B58"/>
    <w:rsid w:val="003316FA"/>
    <w:rsid w:val="00332956"/>
    <w:rsid w:val="00333291"/>
    <w:rsid w:val="003343F6"/>
    <w:rsid w:val="0033465C"/>
    <w:rsid w:val="00335494"/>
    <w:rsid w:val="00337735"/>
    <w:rsid w:val="003404EE"/>
    <w:rsid w:val="003424CE"/>
    <w:rsid w:val="00343678"/>
    <w:rsid w:val="00343B19"/>
    <w:rsid w:val="0034583E"/>
    <w:rsid w:val="003459C0"/>
    <w:rsid w:val="0034750F"/>
    <w:rsid w:val="00352477"/>
    <w:rsid w:val="00352CC8"/>
    <w:rsid w:val="0035495B"/>
    <w:rsid w:val="00356208"/>
    <w:rsid w:val="00357055"/>
    <w:rsid w:val="003573D6"/>
    <w:rsid w:val="00357944"/>
    <w:rsid w:val="003634DB"/>
    <w:rsid w:val="00365F5E"/>
    <w:rsid w:val="003713BA"/>
    <w:rsid w:val="00373C53"/>
    <w:rsid w:val="00375D38"/>
    <w:rsid w:val="00385DC8"/>
    <w:rsid w:val="00385F43"/>
    <w:rsid w:val="003861D9"/>
    <w:rsid w:val="00392E81"/>
    <w:rsid w:val="00397783"/>
    <w:rsid w:val="003977C1"/>
    <w:rsid w:val="00397B85"/>
    <w:rsid w:val="003A0959"/>
    <w:rsid w:val="003B06B7"/>
    <w:rsid w:val="003B0857"/>
    <w:rsid w:val="003B08F6"/>
    <w:rsid w:val="003B2235"/>
    <w:rsid w:val="003B430C"/>
    <w:rsid w:val="003B5F3E"/>
    <w:rsid w:val="003C0671"/>
    <w:rsid w:val="003C1AC9"/>
    <w:rsid w:val="003C6593"/>
    <w:rsid w:val="003C6790"/>
    <w:rsid w:val="003C6D9E"/>
    <w:rsid w:val="003C761C"/>
    <w:rsid w:val="003C77CD"/>
    <w:rsid w:val="003D0AEF"/>
    <w:rsid w:val="003D1D1E"/>
    <w:rsid w:val="003D1F45"/>
    <w:rsid w:val="003D221E"/>
    <w:rsid w:val="003D27B9"/>
    <w:rsid w:val="003D2C20"/>
    <w:rsid w:val="003D30C5"/>
    <w:rsid w:val="003D38E2"/>
    <w:rsid w:val="003D4322"/>
    <w:rsid w:val="003D4C59"/>
    <w:rsid w:val="003D4EF4"/>
    <w:rsid w:val="003D51FD"/>
    <w:rsid w:val="003D7808"/>
    <w:rsid w:val="003E0C36"/>
    <w:rsid w:val="003E2C6E"/>
    <w:rsid w:val="003E3074"/>
    <w:rsid w:val="003E46F7"/>
    <w:rsid w:val="003E48AE"/>
    <w:rsid w:val="003E577A"/>
    <w:rsid w:val="003F0032"/>
    <w:rsid w:val="003F10AE"/>
    <w:rsid w:val="003F172D"/>
    <w:rsid w:val="003F2CFA"/>
    <w:rsid w:val="003F342A"/>
    <w:rsid w:val="003F37AF"/>
    <w:rsid w:val="003F5238"/>
    <w:rsid w:val="003F66A5"/>
    <w:rsid w:val="003F74FC"/>
    <w:rsid w:val="004005E9"/>
    <w:rsid w:val="00400C56"/>
    <w:rsid w:val="00402B3F"/>
    <w:rsid w:val="00402C2E"/>
    <w:rsid w:val="00402CC0"/>
    <w:rsid w:val="004037C0"/>
    <w:rsid w:val="004058FC"/>
    <w:rsid w:val="0040652F"/>
    <w:rsid w:val="004103EF"/>
    <w:rsid w:val="0041542E"/>
    <w:rsid w:val="00416397"/>
    <w:rsid w:val="00416A28"/>
    <w:rsid w:val="00417162"/>
    <w:rsid w:val="00417496"/>
    <w:rsid w:val="00417DE4"/>
    <w:rsid w:val="004202CE"/>
    <w:rsid w:val="00422381"/>
    <w:rsid w:val="004244CA"/>
    <w:rsid w:val="00425EE9"/>
    <w:rsid w:val="00426559"/>
    <w:rsid w:val="004300A7"/>
    <w:rsid w:val="00430E7D"/>
    <w:rsid w:val="0043112B"/>
    <w:rsid w:val="00431BC7"/>
    <w:rsid w:val="0043300D"/>
    <w:rsid w:val="00435272"/>
    <w:rsid w:val="0043741D"/>
    <w:rsid w:val="00437680"/>
    <w:rsid w:val="004376A0"/>
    <w:rsid w:val="00440653"/>
    <w:rsid w:val="004410D8"/>
    <w:rsid w:val="00441BB9"/>
    <w:rsid w:val="0044229E"/>
    <w:rsid w:val="00444B09"/>
    <w:rsid w:val="00444DED"/>
    <w:rsid w:val="00444E8D"/>
    <w:rsid w:val="004453FF"/>
    <w:rsid w:val="004503E6"/>
    <w:rsid w:val="00451115"/>
    <w:rsid w:val="004526E8"/>
    <w:rsid w:val="00453271"/>
    <w:rsid w:val="004558EF"/>
    <w:rsid w:val="00460392"/>
    <w:rsid w:val="0046040D"/>
    <w:rsid w:val="00460E80"/>
    <w:rsid w:val="00465B3A"/>
    <w:rsid w:val="004669B2"/>
    <w:rsid w:val="00472446"/>
    <w:rsid w:val="004744BF"/>
    <w:rsid w:val="0047454D"/>
    <w:rsid w:val="0047497D"/>
    <w:rsid w:val="00475F4B"/>
    <w:rsid w:val="00476D39"/>
    <w:rsid w:val="00477AF2"/>
    <w:rsid w:val="004826A8"/>
    <w:rsid w:val="004857BD"/>
    <w:rsid w:val="0048599E"/>
    <w:rsid w:val="00487EC1"/>
    <w:rsid w:val="00490153"/>
    <w:rsid w:val="0049154D"/>
    <w:rsid w:val="00492C71"/>
    <w:rsid w:val="00493F04"/>
    <w:rsid w:val="004947FD"/>
    <w:rsid w:val="004A3B89"/>
    <w:rsid w:val="004A40C3"/>
    <w:rsid w:val="004B1E61"/>
    <w:rsid w:val="004B321C"/>
    <w:rsid w:val="004C1354"/>
    <w:rsid w:val="004C26B7"/>
    <w:rsid w:val="004C272F"/>
    <w:rsid w:val="004C3B2E"/>
    <w:rsid w:val="004C3F05"/>
    <w:rsid w:val="004C5777"/>
    <w:rsid w:val="004C64B8"/>
    <w:rsid w:val="004C68A6"/>
    <w:rsid w:val="004D038D"/>
    <w:rsid w:val="004D0394"/>
    <w:rsid w:val="004D092B"/>
    <w:rsid w:val="004D100A"/>
    <w:rsid w:val="004D11CD"/>
    <w:rsid w:val="004D1618"/>
    <w:rsid w:val="004D1774"/>
    <w:rsid w:val="004D19F7"/>
    <w:rsid w:val="004D4997"/>
    <w:rsid w:val="004D4FF0"/>
    <w:rsid w:val="004D5CD9"/>
    <w:rsid w:val="004D7B11"/>
    <w:rsid w:val="004E0F6E"/>
    <w:rsid w:val="004E269E"/>
    <w:rsid w:val="004E2C92"/>
    <w:rsid w:val="004E3264"/>
    <w:rsid w:val="004E348E"/>
    <w:rsid w:val="004E48F8"/>
    <w:rsid w:val="004F0007"/>
    <w:rsid w:val="004F0A72"/>
    <w:rsid w:val="004F174C"/>
    <w:rsid w:val="004F4569"/>
    <w:rsid w:val="005008E4"/>
    <w:rsid w:val="00501596"/>
    <w:rsid w:val="00501EF7"/>
    <w:rsid w:val="00502996"/>
    <w:rsid w:val="005037A9"/>
    <w:rsid w:val="00503A7D"/>
    <w:rsid w:val="0050604E"/>
    <w:rsid w:val="005068DC"/>
    <w:rsid w:val="00510417"/>
    <w:rsid w:val="00511CBA"/>
    <w:rsid w:val="00514C6D"/>
    <w:rsid w:val="00517CB0"/>
    <w:rsid w:val="00523C94"/>
    <w:rsid w:val="00523E1F"/>
    <w:rsid w:val="00533DE6"/>
    <w:rsid w:val="00534C40"/>
    <w:rsid w:val="00541ACE"/>
    <w:rsid w:val="00543075"/>
    <w:rsid w:val="005465DC"/>
    <w:rsid w:val="00550EC8"/>
    <w:rsid w:val="00551FA7"/>
    <w:rsid w:val="005523BB"/>
    <w:rsid w:val="005525E1"/>
    <w:rsid w:val="00555657"/>
    <w:rsid w:val="0055709E"/>
    <w:rsid w:val="005573EB"/>
    <w:rsid w:val="0055786F"/>
    <w:rsid w:val="0055797A"/>
    <w:rsid w:val="005609C8"/>
    <w:rsid w:val="005609EF"/>
    <w:rsid w:val="005613B5"/>
    <w:rsid w:val="005654F7"/>
    <w:rsid w:val="005731F7"/>
    <w:rsid w:val="0057793F"/>
    <w:rsid w:val="00577EE6"/>
    <w:rsid w:val="005826FC"/>
    <w:rsid w:val="00584784"/>
    <w:rsid w:val="00584B54"/>
    <w:rsid w:val="005869AB"/>
    <w:rsid w:val="00592BF0"/>
    <w:rsid w:val="00593169"/>
    <w:rsid w:val="005932FC"/>
    <w:rsid w:val="00593469"/>
    <w:rsid w:val="00593FA2"/>
    <w:rsid w:val="00594A0F"/>
    <w:rsid w:val="00596243"/>
    <w:rsid w:val="00596B6D"/>
    <w:rsid w:val="00596F56"/>
    <w:rsid w:val="0059708D"/>
    <w:rsid w:val="00597D84"/>
    <w:rsid w:val="005A0406"/>
    <w:rsid w:val="005A177B"/>
    <w:rsid w:val="005A2718"/>
    <w:rsid w:val="005A2CE8"/>
    <w:rsid w:val="005A34E5"/>
    <w:rsid w:val="005A6103"/>
    <w:rsid w:val="005A6F6A"/>
    <w:rsid w:val="005A7297"/>
    <w:rsid w:val="005A7FCA"/>
    <w:rsid w:val="005B37B2"/>
    <w:rsid w:val="005B3A7C"/>
    <w:rsid w:val="005B3E67"/>
    <w:rsid w:val="005B402F"/>
    <w:rsid w:val="005B525E"/>
    <w:rsid w:val="005B59CA"/>
    <w:rsid w:val="005C08CC"/>
    <w:rsid w:val="005C11A1"/>
    <w:rsid w:val="005C2D61"/>
    <w:rsid w:val="005C38C0"/>
    <w:rsid w:val="005D22AD"/>
    <w:rsid w:val="005D29EF"/>
    <w:rsid w:val="005D2A2D"/>
    <w:rsid w:val="005D3030"/>
    <w:rsid w:val="005D357D"/>
    <w:rsid w:val="005D5867"/>
    <w:rsid w:val="005D6FB4"/>
    <w:rsid w:val="005E14D9"/>
    <w:rsid w:val="005E39A2"/>
    <w:rsid w:val="005E441B"/>
    <w:rsid w:val="005E4C95"/>
    <w:rsid w:val="005E4FA6"/>
    <w:rsid w:val="005E5E1A"/>
    <w:rsid w:val="005E6B4D"/>
    <w:rsid w:val="005E7FBC"/>
    <w:rsid w:val="005F264E"/>
    <w:rsid w:val="005F440F"/>
    <w:rsid w:val="005F5A73"/>
    <w:rsid w:val="005F7319"/>
    <w:rsid w:val="005F765D"/>
    <w:rsid w:val="00600CE3"/>
    <w:rsid w:val="00603F77"/>
    <w:rsid w:val="00607E7F"/>
    <w:rsid w:val="00610686"/>
    <w:rsid w:val="00612031"/>
    <w:rsid w:val="00613DC7"/>
    <w:rsid w:val="00615971"/>
    <w:rsid w:val="00615A1B"/>
    <w:rsid w:val="00616B0A"/>
    <w:rsid w:val="006171D7"/>
    <w:rsid w:val="00620D52"/>
    <w:rsid w:val="00623AFE"/>
    <w:rsid w:val="00625E81"/>
    <w:rsid w:val="006268E5"/>
    <w:rsid w:val="00626BAB"/>
    <w:rsid w:val="00626ED3"/>
    <w:rsid w:val="00627B0B"/>
    <w:rsid w:val="00634C38"/>
    <w:rsid w:val="006366B7"/>
    <w:rsid w:val="006375CC"/>
    <w:rsid w:val="00643908"/>
    <w:rsid w:val="0064450D"/>
    <w:rsid w:val="0064678B"/>
    <w:rsid w:val="00646CFD"/>
    <w:rsid w:val="00647E07"/>
    <w:rsid w:val="00653E15"/>
    <w:rsid w:val="006554B4"/>
    <w:rsid w:val="006556EC"/>
    <w:rsid w:val="00657E39"/>
    <w:rsid w:val="006602D9"/>
    <w:rsid w:val="006608E9"/>
    <w:rsid w:val="00660DA5"/>
    <w:rsid w:val="006623E2"/>
    <w:rsid w:val="0066521A"/>
    <w:rsid w:val="00667917"/>
    <w:rsid w:val="00667936"/>
    <w:rsid w:val="0067039C"/>
    <w:rsid w:val="0067041C"/>
    <w:rsid w:val="00673CE6"/>
    <w:rsid w:val="00675085"/>
    <w:rsid w:val="0067578C"/>
    <w:rsid w:val="006768D9"/>
    <w:rsid w:val="0068019D"/>
    <w:rsid w:val="0068225D"/>
    <w:rsid w:val="00683B12"/>
    <w:rsid w:val="006867E2"/>
    <w:rsid w:val="0069197A"/>
    <w:rsid w:val="00691A61"/>
    <w:rsid w:val="00692194"/>
    <w:rsid w:val="00695820"/>
    <w:rsid w:val="006A0C6C"/>
    <w:rsid w:val="006A4BCC"/>
    <w:rsid w:val="006A6D81"/>
    <w:rsid w:val="006B0023"/>
    <w:rsid w:val="006B00AC"/>
    <w:rsid w:val="006B180D"/>
    <w:rsid w:val="006B3289"/>
    <w:rsid w:val="006B36D5"/>
    <w:rsid w:val="006B4C7E"/>
    <w:rsid w:val="006B708B"/>
    <w:rsid w:val="006B7B79"/>
    <w:rsid w:val="006B7FA8"/>
    <w:rsid w:val="006C0EFE"/>
    <w:rsid w:val="006C2A45"/>
    <w:rsid w:val="006C5394"/>
    <w:rsid w:val="006C5BD1"/>
    <w:rsid w:val="006C6D77"/>
    <w:rsid w:val="006C7E90"/>
    <w:rsid w:val="006D15CB"/>
    <w:rsid w:val="006D1F32"/>
    <w:rsid w:val="006D2D13"/>
    <w:rsid w:val="006D4BDA"/>
    <w:rsid w:val="006D56AD"/>
    <w:rsid w:val="006D5790"/>
    <w:rsid w:val="006D58C2"/>
    <w:rsid w:val="006D5FE7"/>
    <w:rsid w:val="006E1159"/>
    <w:rsid w:val="006E1D6D"/>
    <w:rsid w:val="006E2247"/>
    <w:rsid w:val="006E2695"/>
    <w:rsid w:val="006E270B"/>
    <w:rsid w:val="006E346C"/>
    <w:rsid w:val="006E3480"/>
    <w:rsid w:val="006E65B4"/>
    <w:rsid w:val="006F1079"/>
    <w:rsid w:val="006F1A6F"/>
    <w:rsid w:val="006F398C"/>
    <w:rsid w:val="006F4AD9"/>
    <w:rsid w:val="006F5386"/>
    <w:rsid w:val="006F53B5"/>
    <w:rsid w:val="0070118D"/>
    <w:rsid w:val="007012F7"/>
    <w:rsid w:val="00701700"/>
    <w:rsid w:val="00701E49"/>
    <w:rsid w:val="0070223E"/>
    <w:rsid w:val="00710011"/>
    <w:rsid w:val="007101A6"/>
    <w:rsid w:val="00711195"/>
    <w:rsid w:val="0071369D"/>
    <w:rsid w:val="00714754"/>
    <w:rsid w:val="00716EC1"/>
    <w:rsid w:val="0071790A"/>
    <w:rsid w:val="007221E7"/>
    <w:rsid w:val="007222B6"/>
    <w:rsid w:val="00725D49"/>
    <w:rsid w:val="007300FC"/>
    <w:rsid w:val="007336F8"/>
    <w:rsid w:val="007358FC"/>
    <w:rsid w:val="007373F3"/>
    <w:rsid w:val="00737DED"/>
    <w:rsid w:val="00742632"/>
    <w:rsid w:val="007431CF"/>
    <w:rsid w:val="00747242"/>
    <w:rsid w:val="00747D92"/>
    <w:rsid w:val="007504EB"/>
    <w:rsid w:val="00754018"/>
    <w:rsid w:val="00754173"/>
    <w:rsid w:val="00755AAE"/>
    <w:rsid w:val="0076283E"/>
    <w:rsid w:val="00765C20"/>
    <w:rsid w:val="00766120"/>
    <w:rsid w:val="00767162"/>
    <w:rsid w:val="00770F4D"/>
    <w:rsid w:val="00773ED2"/>
    <w:rsid w:val="00774CD1"/>
    <w:rsid w:val="00775E35"/>
    <w:rsid w:val="00777F49"/>
    <w:rsid w:val="00780CB8"/>
    <w:rsid w:val="0078277A"/>
    <w:rsid w:val="0078328F"/>
    <w:rsid w:val="007848B6"/>
    <w:rsid w:val="00786D9C"/>
    <w:rsid w:val="00787042"/>
    <w:rsid w:val="0078745D"/>
    <w:rsid w:val="00787731"/>
    <w:rsid w:val="00790C51"/>
    <w:rsid w:val="00791FBF"/>
    <w:rsid w:val="0079610F"/>
    <w:rsid w:val="00796B4F"/>
    <w:rsid w:val="00797517"/>
    <w:rsid w:val="007A1240"/>
    <w:rsid w:val="007A19A6"/>
    <w:rsid w:val="007A284D"/>
    <w:rsid w:val="007A2866"/>
    <w:rsid w:val="007A5E28"/>
    <w:rsid w:val="007A78CC"/>
    <w:rsid w:val="007B0E8E"/>
    <w:rsid w:val="007B10C2"/>
    <w:rsid w:val="007B252A"/>
    <w:rsid w:val="007B55DE"/>
    <w:rsid w:val="007B5754"/>
    <w:rsid w:val="007C1495"/>
    <w:rsid w:val="007C2003"/>
    <w:rsid w:val="007C289A"/>
    <w:rsid w:val="007C2FA9"/>
    <w:rsid w:val="007C3E2F"/>
    <w:rsid w:val="007C54AF"/>
    <w:rsid w:val="007D0EB9"/>
    <w:rsid w:val="007D330C"/>
    <w:rsid w:val="007D66E6"/>
    <w:rsid w:val="007D69C9"/>
    <w:rsid w:val="007D6F93"/>
    <w:rsid w:val="007D706E"/>
    <w:rsid w:val="007D70A4"/>
    <w:rsid w:val="007E0052"/>
    <w:rsid w:val="007E1653"/>
    <w:rsid w:val="007E1DA3"/>
    <w:rsid w:val="007E367A"/>
    <w:rsid w:val="007E66E2"/>
    <w:rsid w:val="007F140A"/>
    <w:rsid w:val="007F190F"/>
    <w:rsid w:val="007F1CDD"/>
    <w:rsid w:val="007F26A9"/>
    <w:rsid w:val="007F29E6"/>
    <w:rsid w:val="00800128"/>
    <w:rsid w:val="00803385"/>
    <w:rsid w:val="00803989"/>
    <w:rsid w:val="00804E31"/>
    <w:rsid w:val="00804EF0"/>
    <w:rsid w:val="008052FD"/>
    <w:rsid w:val="00805602"/>
    <w:rsid w:val="008062D9"/>
    <w:rsid w:val="00807856"/>
    <w:rsid w:val="00807F36"/>
    <w:rsid w:val="008110B8"/>
    <w:rsid w:val="00813729"/>
    <w:rsid w:val="00815398"/>
    <w:rsid w:val="00817448"/>
    <w:rsid w:val="00821105"/>
    <w:rsid w:val="00824331"/>
    <w:rsid w:val="00825EBD"/>
    <w:rsid w:val="00826645"/>
    <w:rsid w:val="008317E8"/>
    <w:rsid w:val="00832189"/>
    <w:rsid w:val="008341E6"/>
    <w:rsid w:val="008349E2"/>
    <w:rsid w:val="00835531"/>
    <w:rsid w:val="0083561B"/>
    <w:rsid w:val="0084013A"/>
    <w:rsid w:val="00840DC0"/>
    <w:rsid w:val="00841AA9"/>
    <w:rsid w:val="00842545"/>
    <w:rsid w:val="0084351F"/>
    <w:rsid w:val="00843F39"/>
    <w:rsid w:val="00844D93"/>
    <w:rsid w:val="00844DC4"/>
    <w:rsid w:val="00845CFF"/>
    <w:rsid w:val="00847382"/>
    <w:rsid w:val="008474FE"/>
    <w:rsid w:val="00847700"/>
    <w:rsid w:val="008502B1"/>
    <w:rsid w:val="00850576"/>
    <w:rsid w:val="00850B66"/>
    <w:rsid w:val="008526DA"/>
    <w:rsid w:val="008561B8"/>
    <w:rsid w:val="00862BB5"/>
    <w:rsid w:val="0086381D"/>
    <w:rsid w:val="00864850"/>
    <w:rsid w:val="00864B1B"/>
    <w:rsid w:val="00865992"/>
    <w:rsid w:val="00866977"/>
    <w:rsid w:val="00866C3D"/>
    <w:rsid w:val="00867A25"/>
    <w:rsid w:val="008739A0"/>
    <w:rsid w:val="00874D04"/>
    <w:rsid w:val="00875554"/>
    <w:rsid w:val="00876D15"/>
    <w:rsid w:val="00876D50"/>
    <w:rsid w:val="00881C2B"/>
    <w:rsid w:val="008836E9"/>
    <w:rsid w:val="00883A1E"/>
    <w:rsid w:val="00885DAD"/>
    <w:rsid w:val="00887D90"/>
    <w:rsid w:val="0089008F"/>
    <w:rsid w:val="0089284C"/>
    <w:rsid w:val="008936A5"/>
    <w:rsid w:val="00895950"/>
    <w:rsid w:val="00896D6D"/>
    <w:rsid w:val="00897254"/>
    <w:rsid w:val="008A0C6C"/>
    <w:rsid w:val="008A1B46"/>
    <w:rsid w:val="008A27F7"/>
    <w:rsid w:val="008A3949"/>
    <w:rsid w:val="008A4133"/>
    <w:rsid w:val="008A46E7"/>
    <w:rsid w:val="008A494A"/>
    <w:rsid w:val="008B189C"/>
    <w:rsid w:val="008B4ACF"/>
    <w:rsid w:val="008B5FB4"/>
    <w:rsid w:val="008B7554"/>
    <w:rsid w:val="008C01DD"/>
    <w:rsid w:val="008C18D9"/>
    <w:rsid w:val="008C2A8F"/>
    <w:rsid w:val="008C37A9"/>
    <w:rsid w:val="008C4E2C"/>
    <w:rsid w:val="008C5BC5"/>
    <w:rsid w:val="008C5E53"/>
    <w:rsid w:val="008C713B"/>
    <w:rsid w:val="008C7D02"/>
    <w:rsid w:val="008D0998"/>
    <w:rsid w:val="008D3737"/>
    <w:rsid w:val="008D52C9"/>
    <w:rsid w:val="008D66CB"/>
    <w:rsid w:val="008D757C"/>
    <w:rsid w:val="008E1889"/>
    <w:rsid w:val="008E222F"/>
    <w:rsid w:val="008E2714"/>
    <w:rsid w:val="008E6B5A"/>
    <w:rsid w:val="008E6D5A"/>
    <w:rsid w:val="008F1C3C"/>
    <w:rsid w:val="008F56BB"/>
    <w:rsid w:val="008F5834"/>
    <w:rsid w:val="00901471"/>
    <w:rsid w:val="009059C7"/>
    <w:rsid w:val="00905FDE"/>
    <w:rsid w:val="00911C44"/>
    <w:rsid w:val="009128A5"/>
    <w:rsid w:val="00912F90"/>
    <w:rsid w:val="00913B3E"/>
    <w:rsid w:val="0091541B"/>
    <w:rsid w:val="009172D2"/>
    <w:rsid w:val="00917681"/>
    <w:rsid w:val="0092163C"/>
    <w:rsid w:val="00921A5F"/>
    <w:rsid w:val="00921DDE"/>
    <w:rsid w:val="00923BD4"/>
    <w:rsid w:val="00924F0C"/>
    <w:rsid w:val="00927EA7"/>
    <w:rsid w:val="0093062F"/>
    <w:rsid w:val="009315DA"/>
    <w:rsid w:val="00931824"/>
    <w:rsid w:val="00931BE7"/>
    <w:rsid w:val="009321C3"/>
    <w:rsid w:val="00932A2F"/>
    <w:rsid w:val="00933C89"/>
    <w:rsid w:val="00934B3F"/>
    <w:rsid w:val="00934FF4"/>
    <w:rsid w:val="009368AC"/>
    <w:rsid w:val="0093693F"/>
    <w:rsid w:val="009374D8"/>
    <w:rsid w:val="00941DC0"/>
    <w:rsid w:val="009435EC"/>
    <w:rsid w:val="00943EB6"/>
    <w:rsid w:val="00943EBE"/>
    <w:rsid w:val="009447C5"/>
    <w:rsid w:val="00945547"/>
    <w:rsid w:val="00946DB1"/>
    <w:rsid w:val="00947389"/>
    <w:rsid w:val="009479B1"/>
    <w:rsid w:val="0095090D"/>
    <w:rsid w:val="00952526"/>
    <w:rsid w:val="0095292A"/>
    <w:rsid w:val="00952CEE"/>
    <w:rsid w:val="00954B3E"/>
    <w:rsid w:val="00954F1A"/>
    <w:rsid w:val="00954F90"/>
    <w:rsid w:val="0095620B"/>
    <w:rsid w:val="009566BB"/>
    <w:rsid w:val="0095686F"/>
    <w:rsid w:val="00957420"/>
    <w:rsid w:val="0096061E"/>
    <w:rsid w:val="009650DE"/>
    <w:rsid w:val="0096576B"/>
    <w:rsid w:val="009664AA"/>
    <w:rsid w:val="009709CB"/>
    <w:rsid w:val="0097278A"/>
    <w:rsid w:val="00973838"/>
    <w:rsid w:val="00975B59"/>
    <w:rsid w:val="00975CF9"/>
    <w:rsid w:val="00976FAD"/>
    <w:rsid w:val="00977051"/>
    <w:rsid w:val="00980593"/>
    <w:rsid w:val="00981BA7"/>
    <w:rsid w:val="00985758"/>
    <w:rsid w:val="009857D0"/>
    <w:rsid w:val="00985A9F"/>
    <w:rsid w:val="00985C4C"/>
    <w:rsid w:val="00985CAB"/>
    <w:rsid w:val="00985F7D"/>
    <w:rsid w:val="00986F5C"/>
    <w:rsid w:val="00992072"/>
    <w:rsid w:val="009926C4"/>
    <w:rsid w:val="00994F71"/>
    <w:rsid w:val="00995065"/>
    <w:rsid w:val="0099582D"/>
    <w:rsid w:val="00996027"/>
    <w:rsid w:val="009975BD"/>
    <w:rsid w:val="009976BB"/>
    <w:rsid w:val="009A3DC8"/>
    <w:rsid w:val="009A3E57"/>
    <w:rsid w:val="009A3E98"/>
    <w:rsid w:val="009B111D"/>
    <w:rsid w:val="009B165C"/>
    <w:rsid w:val="009B369F"/>
    <w:rsid w:val="009B6621"/>
    <w:rsid w:val="009B739F"/>
    <w:rsid w:val="009B74FD"/>
    <w:rsid w:val="009C09EF"/>
    <w:rsid w:val="009C7471"/>
    <w:rsid w:val="009D2594"/>
    <w:rsid w:val="009D7757"/>
    <w:rsid w:val="009E2094"/>
    <w:rsid w:val="009E2A80"/>
    <w:rsid w:val="009E596E"/>
    <w:rsid w:val="009E7DE3"/>
    <w:rsid w:val="009F1399"/>
    <w:rsid w:val="009F1E12"/>
    <w:rsid w:val="009F20C7"/>
    <w:rsid w:val="009F32AA"/>
    <w:rsid w:val="009F4E07"/>
    <w:rsid w:val="00A006C9"/>
    <w:rsid w:val="00A04C8F"/>
    <w:rsid w:val="00A06FBD"/>
    <w:rsid w:val="00A10B43"/>
    <w:rsid w:val="00A12B19"/>
    <w:rsid w:val="00A143A6"/>
    <w:rsid w:val="00A14663"/>
    <w:rsid w:val="00A15152"/>
    <w:rsid w:val="00A158CE"/>
    <w:rsid w:val="00A1679E"/>
    <w:rsid w:val="00A20AB2"/>
    <w:rsid w:val="00A21005"/>
    <w:rsid w:val="00A21325"/>
    <w:rsid w:val="00A223FE"/>
    <w:rsid w:val="00A24F77"/>
    <w:rsid w:val="00A25E9B"/>
    <w:rsid w:val="00A317F7"/>
    <w:rsid w:val="00A32238"/>
    <w:rsid w:val="00A325FC"/>
    <w:rsid w:val="00A3628E"/>
    <w:rsid w:val="00A36B76"/>
    <w:rsid w:val="00A37E93"/>
    <w:rsid w:val="00A4031D"/>
    <w:rsid w:val="00A421A6"/>
    <w:rsid w:val="00A421E4"/>
    <w:rsid w:val="00A42A20"/>
    <w:rsid w:val="00A51E62"/>
    <w:rsid w:val="00A52194"/>
    <w:rsid w:val="00A55821"/>
    <w:rsid w:val="00A56BC2"/>
    <w:rsid w:val="00A6097B"/>
    <w:rsid w:val="00A624E8"/>
    <w:rsid w:val="00A636EA"/>
    <w:rsid w:val="00A63A20"/>
    <w:rsid w:val="00A64178"/>
    <w:rsid w:val="00A64B15"/>
    <w:rsid w:val="00A6589E"/>
    <w:rsid w:val="00A719C1"/>
    <w:rsid w:val="00A72895"/>
    <w:rsid w:val="00A72B1D"/>
    <w:rsid w:val="00A73227"/>
    <w:rsid w:val="00A73C3B"/>
    <w:rsid w:val="00A745AF"/>
    <w:rsid w:val="00A7688C"/>
    <w:rsid w:val="00A7731C"/>
    <w:rsid w:val="00A773FE"/>
    <w:rsid w:val="00A81C27"/>
    <w:rsid w:val="00A83C7D"/>
    <w:rsid w:val="00A90B88"/>
    <w:rsid w:val="00A92960"/>
    <w:rsid w:val="00A95D09"/>
    <w:rsid w:val="00A96F73"/>
    <w:rsid w:val="00AA010F"/>
    <w:rsid w:val="00AA0A18"/>
    <w:rsid w:val="00AA36E2"/>
    <w:rsid w:val="00AB0827"/>
    <w:rsid w:val="00AB0E9E"/>
    <w:rsid w:val="00AB1B07"/>
    <w:rsid w:val="00AB2609"/>
    <w:rsid w:val="00AB34EF"/>
    <w:rsid w:val="00AB38DB"/>
    <w:rsid w:val="00AB55B2"/>
    <w:rsid w:val="00AB7120"/>
    <w:rsid w:val="00AB7593"/>
    <w:rsid w:val="00AC015E"/>
    <w:rsid w:val="00AC0512"/>
    <w:rsid w:val="00AC38CB"/>
    <w:rsid w:val="00AC543E"/>
    <w:rsid w:val="00AD0881"/>
    <w:rsid w:val="00AD10B6"/>
    <w:rsid w:val="00AD49B1"/>
    <w:rsid w:val="00AE0F85"/>
    <w:rsid w:val="00AE20BF"/>
    <w:rsid w:val="00AE3328"/>
    <w:rsid w:val="00AE4A75"/>
    <w:rsid w:val="00AE6D0F"/>
    <w:rsid w:val="00AE775B"/>
    <w:rsid w:val="00AE7843"/>
    <w:rsid w:val="00AF10CB"/>
    <w:rsid w:val="00AF2974"/>
    <w:rsid w:val="00AF2FAF"/>
    <w:rsid w:val="00AF41A7"/>
    <w:rsid w:val="00B002D7"/>
    <w:rsid w:val="00B00C7A"/>
    <w:rsid w:val="00B01EA2"/>
    <w:rsid w:val="00B040E8"/>
    <w:rsid w:val="00B04566"/>
    <w:rsid w:val="00B07232"/>
    <w:rsid w:val="00B10E9D"/>
    <w:rsid w:val="00B1126A"/>
    <w:rsid w:val="00B114F9"/>
    <w:rsid w:val="00B122AB"/>
    <w:rsid w:val="00B12B1D"/>
    <w:rsid w:val="00B14E18"/>
    <w:rsid w:val="00B15F95"/>
    <w:rsid w:val="00B16079"/>
    <w:rsid w:val="00B16625"/>
    <w:rsid w:val="00B176C1"/>
    <w:rsid w:val="00B17F7E"/>
    <w:rsid w:val="00B21F15"/>
    <w:rsid w:val="00B21F55"/>
    <w:rsid w:val="00B24B73"/>
    <w:rsid w:val="00B24C34"/>
    <w:rsid w:val="00B25E9A"/>
    <w:rsid w:val="00B30D6B"/>
    <w:rsid w:val="00B31391"/>
    <w:rsid w:val="00B35A15"/>
    <w:rsid w:val="00B35E4D"/>
    <w:rsid w:val="00B37469"/>
    <w:rsid w:val="00B4263C"/>
    <w:rsid w:val="00B42FB7"/>
    <w:rsid w:val="00B43531"/>
    <w:rsid w:val="00B45E84"/>
    <w:rsid w:val="00B52728"/>
    <w:rsid w:val="00B52AF0"/>
    <w:rsid w:val="00B5314C"/>
    <w:rsid w:val="00B57E0F"/>
    <w:rsid w:val="00B60459"/>
    <w:rsid w:val="00B60FDC"/>
    <w:rsid w:val="00B61A74"/>
    <w:rsid w:val="00B61F13"/>
    <w:rsid w:val="00B6330B"/>
    <w:rsid w:val="00B63E3F"/>
    <w:rsid w:val="00B710C1"/>
    <w:rsid w:val="00B71155"/>
    <w:rsid w:val="00B724B6"/>
    <w:rsid w:val="00B72AA5"/>
    <w:rsid w:val="00B735C4"/>
    <w:rsid w:val="00B748FF"/>
    <w:rsid w:val="00B81508"/>
    <w:rsid w:val="00B830A9"/>
    <w:rsid w:val="00B83B47"/>
    <w:rsid w:val="00B856A9"/>
    <w:rsid w:val="00B85B44"/>
    <w:rsid w:val="00B90F13"/>
    <w:rsid w:val="00B9158B"/>
    <w:rsid w:val="00B91F7F"/>
    <w:rsid w:val="00B94DCB"/>
    <w:rsid w:val="00B95CB4"/>
    <w:rsid w:val="00B96B2C"/>
    <w:rsid w:val="00BA0D74"/>
    <w:rsid w:val="00BA4830"/>
    <w:rsid w:val="00BA7577"/>
    <w:rsid w:val="00BA7A51"/>
    <w:rsid w:val="00BB0759"/>
    <w:rsid w:val="00BB0C71"/>
    <w:rsid w:val="00BB3191"/>
    <w:rsid w:val="00BB3BCE"/>
    <w:rsid w:val="00BB6E13"/>
    <w:rsid w:val="00BC1751"/>
    <w:rsid w:val="00BC1960"/>
    <w:rsid w:val="00BC2280"/>
    <w:rsid w:val="00BC34E5"/>
    <w:rsid w:val="00BC3BA7"/>
    <w:rsid w:val="00BD1101"/>
    <w:rsid w:val="00BD134C"/>
    <w:rsid w:val="00BD50B0"/>
    <w:rsid w:val="00BD58C2"/>
    <w:rsid w:val="00BE0CB0"/>
    <w:rsid w:val="00BE1414"/>
    <w:rsid w:val="00BF0995"/>
    <w:rsid w:val="00BF0D18"/>
    <w:rsid w:val="00BF17E9"/>
    <w:rsid w:val="00BF3579"/>
    <w:rsid w:val="00C002FF"/>
    <w:rsid w:val="00C0286E"/>
    <w:rsid w:val="00C035A5"/>
    <w:rsid w:val="00C05099"/>
    <w:rsid w:val="00C0549D"/>
    <w:rsid w:val="00C0610F"/>
    <w:rsid w:val="00C06222"/>
    <w:rsid w:val="00C150CA"/>
    <w:rsid w:val="00C15195"/>
    <w:rsid w:val="00C153C0"/>
    <w:rsid w:val="00C17881"/>
    <w:rsid w:val="00C17EF0"/>
    <w:rsid w:val="00C20C81"/>
    <w:rsid w:val="00C2160D"/>
    <w:rsid w:val="00C25D35"/>
    <w:rsid w:val="00C27692"/>
    <w:rsid w:val="00C277B6"/>
    <w:rsid w:val="00C30688"/>
    <w:rsid w:val="00C30950"/>
    <w:rsid w:val="00C31579"/>
    <w:rsid w:val="00C32E80"/>
    <w:rsid w:val="00C33580"/>
    <w:rsid w:val="00C35053"/>
    <w:rsid w:val="00C37A0A"/>
    <w:rsid w:val="00C401BC"/>
    <w:rsid w:val="00C40445"/>
    <w:rsid w:val="00C43D81"/>
    <w:rsid w:val="00C50209"/>
    <w:rsid w:val="00C50D15"/>
    <w:rsid w:val="00C52313"/>
    <w:rsid w:val="00C52864"/>
    <w:rsid w:val="00C52B27"/>
    <w:rsid w:val="00C5304B"/>
    <w:rsid w:val="00C57C69"/>
    <w:rsid w:val="00C57EB3"/>
    <w:rsid w:val="00C61669"/>
    <w:rsid w:val="00C61AE5"/>
    <w:rsid w:val="00C62298"/>
    <w:rsid w:val="00C63B9D"/>
    <w:rsid w:val="00C650A5"/>
    <w:rsid w:val="00C67CC9"/>
    <w:rsid w:val="00C7071B"/>
    <w:rsid w:val="00C718DD"/>
    <w:rsid w:val="00C732BF"/>
    <w:rsid w:val="00C739A6"/>
    <w:rsid w:val="00C757AC"/>
    <w:rsid w:val="00C7697F"/>
    <w:rsid w:val="00C77D35"/>
    <w:rsid w:val="00C81D46"/>
    <w:rsid w:val="00C8527F"/>
    <w:rsid w:val="00C871D1"/>
    <w:rsid w:val="00C936F5"/>
    <w:rsid w:val="00C947D8"/>
    <w:rsid w:val="00CA11CD"/>
    <w:rsid w:val="00CA1566"/>
    <w:rsid w:val="00CA5AD9"/>
    <w:rsid w:val="00CA5DA8"/>
    <w:rsid w:val="00CA60C6"/>
    <w:rsid w:val="00CA731A"/>
    <w:rsid w:val="00CB4326"/>
    <w:rsid w:val="00CB4602"/>
    <w:rsid w:val="00CB4E71"/>
    <w:rsid w:val="00CB5885"/>
    <w:rsid w:val="00CB6797"/>
    <w:rsid w:val="00CC1809"/>
    <w:rsid w:val="00CC2075"/>
    <w:rsid w:val="00CC2328"/>
    <w:rsid w:val="00CC2443"/>
    <w:rsid w:val="00CC4B5E"/>
    <w:rsid w:val="00CC4F3C"/>
    <w:rsid w:val="00CD2749"/>
    <w:rsid w:val="00CD2A17"/>
    <w:rsid w:val="00CD5A58"/>
    <w:rsid w:val="00CD6EC9"/>
    <w:rsid w:val="00CD7E2A"/>
    <w:rsid w:val="00CE04C8"/>
    <w:rsid w:val="00CE0903"/>
    <w:rsid w:val="00CE245E"/>
    <w:rsid w:val="00CE2B6C"/>
    <w:rsid w:val="00CE2B9E"/>
    <w:rsid w:val="00CE3A0A"/>
    <w:rsid w:val="00CE5753"/>
    <w:rsid w:val="00CE770D"/>
    <w:rsid w:val="00CF02B4"/>
    <w:rsid w:val="00CF157B"/>
    <w:rsid w:val="00CF3122"/>
    <w:rsid w:val="00CF478A"/>
    <w:rsid w:val="00CF56CF"/>
    <w:rsid w:val="00CF6604"/>
    <w:rsid w:val="00CF72AA"/>
    <w:rsid w:val="00CF7AF1"/>
    <w:rsid w:val="00D0092D"/>
    <w:rsid w:val="00D04803"/>
    <w:rsid w:val="00D05F2C"/>
    <w:rsid w:val="00D0687A"/>
    <w:rsid w:val="00D06C44"/>
    <w:rsid w:val="00D115DB"/>
    <w:rsid w:val="00D1227F"/>
    <w:rsid w:val="00D12F5B"/>
    <w:rsid w:val="00D17741"/>
    <w:rsid w:val="00D226EE"/>
    <w:rsid w:val="00D236C9"/>
    <w:rsid w:val="00D24123"/>
    <w:rsid w:val="00D24AF7"/>
    <w:rsid w:val="00D26F88"/>
    <w:rsid w:val="00D27503"/>
    <w:rsid w:val="00D305DF"/>
    <w:rsid w:val="00D36307"/>
    <w:rsid w:val="00D3721A"/>
    <w:rsid w:val="00D3766F"/>
    <w:rsid w:val="00D378C5"/>
    <w:rsid w:val="00D4300D"/>
    <w:rsid w:val="00D43352"/>
    <w:rsid w:val="00D4465C"/>
    <w:rsid w:val="00D47CBC"/>
    <w:rsid w:val="00D51F93"/>
    <w:rsid w:val="00D5397D"/>
    <w:rsid w:val="00D5426C"/>
    <w:rsid w:val="00D54833"/>
    <w:rsid w:val="00D56E5C"/>
    <w:rsid w:val="00D575A4"/>
    <w:rsid w:val="00D61251"/>
    <w:rsid w:val="00D61BAC"/>
    <w:rsid w:val="00D6296E"/>
    <w:rsid w:val="00D630EB"/>
    <w:rsid w:val="00D63636"/>
    <w:rsid w:val="00D657E0"/>
    <w:rsid w:val="00D65B08"/>
    <w:rsid w:val="00D65FFB"/>
    <w:rsid w:val="00D663FF"/>
    <w:rsid w:val="00D67CAA"/>
    <w:rsid w:val="00D70557"/>
    <w:rsid w:val="00D70D30"/>
    <w:rsid w:val="00D712B4"/>
    <w:rsid w:val="00D743C7"/>
    <w:rsid w:val="00D7764D"/>
    <w:rsid w:val="00D77880"/>
    <w:rsid w:val="00D77EA7"/>
    <w:rsid w:val="00D83280"/>
    <w:rsid w:val="00D85395"/>
    <w:rsid w:val="00D86242"/>
    <w:rsid w:val="00D8746E"/>
    <w:rsid w:val="00D87CF8"/>
    <w:rsid w:val="00D91797"/>
    <w:rsid w:val="00D92382"/>
    <w:rsid w:val="00D95368"/>
    <w:rsid w:val="00DA1AFE"/>
    <w:rsid w:val="00DA2B2E"/>
    <w:rsid w:val="00DA5F17"/>
    <w:rsid w:val="00DA6562"/>
    <w:rsid w:val="00DA66D7"/>
    <w:rsid w:val="00DA6F95"/>
    <w:rsid w:val="00DA7924"/>
    <w:rsid w:val="00DB045C"/>
    <w:rsid w:val="00DB1217"/>
    <w:rsid w:val="00DB1C5D"/>
    <w:rsid w:val="00DB2A23"/>
    <w:rsid w:val="00DB3B3B"/>
    <w:rsid w:val="00DB4C70"/>
    <w:rsid w:val="00DB5357"/>
    <w:rsid w:val="00DB64AD"/>
    <w:rsid w:val="00DB67D4"/>
    <w:rsid w:val="00DC0B0B"/>
    <w:rsid w:val="00DC130A"/>
    <w:rsid w:val="00DC1C4D"/>
    <w:rsid w:val="00DC2DE3"/>
    <w:rsid w:val="00DC2E15"/>
    <w:rsid w:val="00DD2F50"/>
    <w:rsid w:val="00DD41A4"/>
    <w:rsid w:val="00DD6E69"/>
    <w:rsid w:val="00DE3C15"/>
    <w:rsid w:val="00DE7F45"/>
    <w:rsid w:val="00DF05DD"/>
    <w:rsid w:val="00DF0712"/>
    <w:rsid w:val="00DF3344"/>
    <w:rsid w:val="00DF43AF"/>
    <w:rsid w:val="00DF47B6"/>
    <w:rsid w:val="00DF6653"/>
    <w:rsid w:val="00DF67CB"/>
    <w:rsid w:val="00E04263"/>
    <w:rsid w:val="00E05D31"/>
    <w:rsid w:val="00E074B8"/>
    <w:rsid w:val="00E101E2"/>
    <w:rsid w:val="00E10563"/>
    <w:rsid w:val="00E12609"/>
    <w:rsid w:val="00E140F2"/>
    <w:rsid w:val="00E14A08"/>
    <w:rsid w:val="00E14F45"/>
    <w:rsid w:val="00E16DB7"/>
    <w:rsid w:val="00E204AC"/>
    <w:rsid w:val="00E20F09"/>
    <w:rsid w:val="00E21DB3"/>
    <w:rsid w:val="00E22A5A"/>
    <w:rsid w:val="00E2408D"/>
    <w:rsid w:val="00E249BD"/>
    <w:rsid w:val="00E24B08"/>
    <w:rsid w:val="00E24C51"/>
    <w:rsid w:val="00E26287"/>
    <w:rsid w:val="00E271A3"/>
    <w:rsid w:val="00E302B0"/>
    <w:rsid w:val="00E306FE"/>
    <w:rsid w:val="00E31F3A"/>
    <w:rsid w:val="00E33F51"/>
    <w:rsid w:val="00E353F4"/>
    <w:rsid w:val="00E369C1"/>
    <w:rsid w:val="00E400D3"/>
    <w:rsid w:val="00E40E81"/>
    <w:rsid w:val="00E41E48"/>
    <w:rsid w:val="00E4377E"/>
    <w:rsid w:val="00E43CF7"/>
    <w:rsid w:val="00E45876"/>
    <w:rsid w:val="00E468B1"/>
    <w:rsid w:val="00E46B76"/>
    <w:rsid w:val="00E51DD5"/>
    <w:rsid w:val="00E606BA"/>
    <w:rsid w:val="00E62585"/>
    <w:rsid w:val="00E6275A"/>
    <w:rsid w:val="00E62EB3"/>
    <w:rsid w:val="00E67991"/>
    <w:rsid w:val="00E70462"/>
    <w:rsid w:val="00E70C2F"/>
    <w:rsid w:val="00E72A0C"/>
    <w:rsid w:val="00E73209"/>
    <w:rsid w:val="00E7423E"/>
    <w:rsid w:val="00E74A3B"/>
    <w:rsid w:val="00E74DF3"/>
    <w:rsid w:val="00E753E7"/>
    <w:rsid w:val="00E762F8"/>
    <w:rsid w:val="00E76773"/>
    <w:rsid w:val="00E76B7A"/>
    <w:rsid w:val="00E778E6"/>
    <w:rsid w:val="00E82051"/>
    <w:rsid w:val="00E827D7"/>
    <w:rsid w:val="00E83770"/>
    <w:rsid w:val="00E83BDA"/>
    <w:rsid w:val="00E91395"/>
    <w:rsid w:val="00E918E5"/>
    <w:rsid w:val="00E921ED"/>
    <w:rsid w:val="00E9246B"/>
    <w:rsid w:val="00E93AC3"/>
    <w:rsid w:val="00E96A55"/>
    <w:rsid w:val="00EA2CB8"/>
    <w:rsid w:val="00EA2EB7"/>
    <w:rsid w:val="00EA40C5"/>
    <w:rsid w:val="00EA47FF"/>
    <w:rsid w:val="00EB16B7"/>
    <w:rsid w:val="00EB207F"/>
    <w:rsid w:val="00EB38EC"/>
    <w:rsid w:val="00EB3DF0"/>
    <w:rsid w:val="00EB6040"/>
    <w:rsid w:val="00EC4D3B"/>
    <w:rsid w:val="00EC6330"/>
    <w:rsid w:val="00EC71C8"/>
    <w:rsid w:val="00ED18A3"/>
    <w:rsid w:val="00ED2344"/>
    <w:rsid w:val="00ED2A37"/>
    <w:rsid w:val="00ED2FFA"/>
    <w:rsid w:val="00ED4B64"/>
    <w:rsid w:val="00ED57DA"/>
    <w:rsid w:val="00ED6679"/>
    <w:rsid w:val="00EE001E"/>
    <w:rsid w:val="00EE0A2A"/>
    <w:rsid w:val="00EE1510"/>
    <w:rsid w:val="00EE1D52"/>
    <w:rsid w:val="00EE21FC"/>
    <w:rsid w:val="00EE3AE1"/>
    <w:rsid w:val="00EE5718"/>
    <w:rsid w:val="00EE7FB7"/>
    <w:rsid w:val="00EF36A7"/>
    <w:rsid w:val="00EF4AF8"/>
    <w:rsid w:val="00EF5742"/>
    <w:rsid w:val="00EF574D"/>
    <w:rsid w:val="00EF6C3A"/>
    <w:rsid w:val="00EF6F93"/>
    <w:rsid w:val="00EF70D0"/>
    <w:rsid w:val="00F04C6A"/>
    <w:rsid w:val="00F07CBE"/>
    <w:rsid w:val="00F11A43"/>
    <w:rsid w:val="00F15A85"/>
    <w:rsid w:val="00F1632A"/>
    <w:rsid w:val="00F1798F"/>
    <w:rsid w:val="00F2134F"/>
    <w:rsid w:val="00F222FB"/>
    <w:rsid w:val="00F229BC"/>
    <w:rsid w:val="00F23346"/>
    <w:rsid w:val="00F2499C"/>
    <w:rsid w:val="00F24EEE"/>
    <w:rsid w:val="00F303B8"/>
    <w:rsid w:val="00F358CA"/>
    <w:rsid w:val="00F402E8"/>
    <w:rsid w:val="00F423F3"/>
    <w:rsid w:val="00F4293D"/>
    <w:rsid w:val="00F42FAF"/>
    <w:rsid w:val="00F449A8"/>
    <w:rsid w:val="00F46FBB"/>
    <w:rsid w:val="00F47370"/>
    <w:rsid w:val="00F47C1A"/>
    <w:rsid w:val="00F53B95"/>
    <w:rsid w:val="00F5611F"/>
    <w:rsid w:val="00F56247"/>
    <w:rsid w:val="00F6053A"/>
    <w:rsid w:val="00F6101B"/>
    <w:rsid w:val="00F64D6B"/>
    <w:rsid w:val="00F70C30"/>
    <w:rsid w:val="00F713E0"/>
    <w:rsid w:val="00F7228D"/>
    <w:rsid w:val="00F72CCB"/>
    <w:rsid w:val="00F7609E"/>
    <w:rsid w:val="00F809C0"/>
    <w:rsid w:val="00F82808"/>
    <w:rsid w:val="00F82C95"/>
    <w:rsid w:val="00F82FC0"/>
    <w:rsid w:val="00F83AC5"/>
    <w:rsid w:val="00F86F29"/>
    <w:rsid w:val="00F900F1"/>
    <w:rsid w:val="00F90BC0"/>
    <w:rsid w:val="00F91143"/>
    <w:rsid w:val="00F959F0"/>
    <w:rsid w:val="00FA20AB"/>
    <w:rsid w:val="00FA2731"/>
    <w:rsid w:val="00FA29FD"/>
    <w:rsid w:val="00FA3116"/>
    <w:rsid w:val="00FA373F"/>
    <w:rsid w:val="00FA5897"/>
    <w:rsid w:val="00FA7A2A"/>
    <w:rsid w:val="00FB1ED8"/>
    <w:rsid w:val="00FB2550"/>
    <w:rsid w:val="00FB269D"/>
    <w:rsid w:val="00FB3C33"/>
    <w:rsid w:val="00FB4300"/>
    <w:rsid w:val="00FB4886"/>
    <w:rsid w:val="00FB5E94"/>
    <w:rsid w:val="00FB638D"/>
    <w:rsid w:val="00FC12BE"/>
    <w:rsid w:val="00FC2065"/>
    <w:rsid w:val="00FC745E"/>
    <w:rsid w:val="00FD10A2"/>
    <w:rsid w:val="00FD1790"/>
    <w:rsid w:val="00FD252D"/>
    <w:rsid w:val="00FD358C"/>
    <w:rsid w:val="00FD4997"/>
    <w:rsid w:val="00FD580B"/>
    <w:rsid w:val="00FD6D9C"/>
    <w:rsid w:val="00FE3B18"/>
    <w:rsid w:val="00FE52AF"/>
    <w:rsid w:val="00FE5BF1"/>
    <w:rsid w:val="00FF26BD"/>
    <w:rsid w:val="00FF284A"/>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C2AC"/>
  <w15:chartTrackingRefBased/>
  <w15:docId w15:val="{9F4F27D1-37E0-4761-9097-8F815AC6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character" w:customStyle="1" w:styleId="cite-bracket">
    <w:name w:val="cite-bracket"/>
    <w:basedOn w:val="DefaultParagraphFont"/>
    <w:rsid w:val="0001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3c95d8ca-edc9-4cad-b83a-82d8ad06607b</TitusGUID>
  <TitusMetadata xmlns="">eyJucyI6IioiLCJwcm9wcyI6W3sibiI6IkNsYXNpZmljYXJlIiwidmFscyI6W3sidmFsdWUiOiJOT05FIn1dfV19</TitusMetadata>
</titus>
</file>

<file path=customXml/item3.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2.xml><?xml version="1.0" encoding="utf-8"?>
<ds:datastoreItem xmlns:ds="http://schemas.openxmlformats.org/officeDocument/2006/customXml" ds:itemID="{64DD5D9D-B969-43EA-8053-597148EB21E7}">
  <ds:schemaRefs>
    <ds:schemaRef ds:uri="http://schemas.titus.com/TitusProperties/"/>
    <ds:schemaRef ds:uri=""/>
  </ds:schemaRefs>
</ds:datastoreItem>
</file>

<file path=customXml/itemProps3.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4.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5.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1533</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2024-12-03T13:24:00Z</cp:lastPrinted>
  <dcterms:created xsi:type="dcterms:W3CDTF">2024-12-03T13:27:00Z</dcterms:created>
  <dcterms:modified xsi:type="dcterms:W3CDTF">2024-12-03T13:27:00Z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3c95d8ca-edc9-4cad-b83a-82d8ad06607b</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2024-12-03T13:24:12Z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c3a43be7-5d48-46b9-a1f7-95d3d47a2d84</vt:lpwstr>
  </property>
  <property fmtid="{D5CDD505-2E9C-101B-9397-08002B2CF9AE}" pid="11" name="MSIP_Label_38962dcf-d39f-4edc-a396-338a56ba9170_ContentBits">
    <vt:lpwstr>0</vt:lpwstr>
  </property>
</Properties>
</file>